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92BBA" w:rsidRPr="00CC1AAA" w:rsidRDefault="00DA7CC1">
      <w:pPr>
        <w:rPr>
          <w:rFonts w:ascii="Arial" w:eastAsia="Arial" w:hAnsi="Arial" w:cs="Arial"/>
          <w:b/>
          <w:sz w:val="36"/>
          <w:szCs w:val="36"/>
        </w:rPr>
      </w:pPr>
      <w:r w:rsidRPr="00CC1AAA">
        <w:rPr>
          <w:rFonts w:ascii="Arial" w:eastAsia="Arial" w:hAnsi="Arial" w:cs="Arial"/>
          <w:b/>
          <w:sz w:val="36"/>
          <w:szCs w:val="36"/>
        </w:rPr>
        <w:t>Framework Schedule 3 (Framework Prices)</w:t>
      </w:r>
    </w:p>
    <w:p w14:paraId="00000002" w14:textId="77777777" w:rsidR="00892BBA" w:rsidRPr="00CC1AAA" w:rsidRDefault="00DA7CC1">
      <w:pPr>
        <w:rPr>
          <w:rFonts w:ascii="Arial" w:eastAsia="Arial" w:hAnsi="Arial" w:cs="Arial"/>
          <w:sz w:val="24"/>
          <w:szCs w:val="24"/>
        </w:rPr>
      </w:pPr>
      <w:r w:rsidRPr="00CC1AAA">
        <w:rPr>
          <w:rFonts w:ascii="Arial" w:eastAsia="Arial" w:hAnsi="Arial" w:cs="Arial"/>
          <w:b/>
          <w:sz w:val="24"/>
          <w:szCs w:val="24"/>
        </w:rPr>
        <w:t>Definitions</w:t>
      </w:r>
    </w:p>
    <w:p w14:paraId="00000003" w14:textId="77777777" w:rsidR="00892BBA" w:rsidRPr="00CC1AAA" w:rsidRDefault="00DA7CC1">
      <w:pPr>
        <w:jc w:val="both"/>
        <w:rPr>
          <w:rFonts w:ascii="Arial" w:eastAsia="Arial" w:hAnsi="Arial" w:cs="Arial"/>
          <w:sz w:val="24"/>
          <w:szCs w:val="24"/>
        </w:rPr>
      </w:pPr>
      <w:r w:rsidRPr="00CC1AAA">
        <w:rPr>
          <w:rFonts w:ascii="Arial" w:eastAsia="Arial" w:hAnsi="Arial" w:cs="Arial"/>
          <w:sz w:val="24"/>
          <w:szCs w:val="24"/>
        </w:rPr>
        <w:t>The following definition is supplemental to those set out in Joint Schedule 1 (Definitions):</w:t>
      </w:r>
    </w:p>
    <w:p w14:paraId="00000004" w14:textId="77777777" w:rsidR="00892BBA" w:rsidRPr="00CC1AAA" w:rsidRDefault="00DA7CC1">
      <w:pPr>
        <w:ind w:left="2835" w:hanging="2835"/>
        <w:jc w:val="both"/>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b/>
          <w:sz w:val="24"/>
          <w:szCs w:val="24"/>
        </w:rPr>
        <w:t>Volume Discount</w:t>
      </w:r>
      <w:r w:rsidRPr="00CC1AAA">
        <w:rPr>
          <w:rFonts w:ascii="Arial" w:eastAsia="Arial" w:hAnsi="Arial" w:cs="Arial"/>
          <w:sz w:val="24"/>
          <w:szCs w:val="24"/>
        </w:rPr>
        <w:t>”</w:t>
      </w:r>
      <w:r w:rsidRPr="00CC1AAA">
        <w:rPr>
          <w:rFonts w:ascii="Arial" w:eastAsia="Arial" w:hAnsi="Arial" w:cs="Arial"/>
          <w:sz w:val="24"/>
          <w:szCs w:val="24"/>
        </w:rPr>
        <w:tab/>
        <w:t>the percentage discount to be applied by the Supplier in accordance with Paragraph 7 and/or Paragraph 8, as applicable.</w:t>
      </w:r>
    </w:p>
    <w:p w14:paraId="00000005" w14:textId="77777777" w:rsidR="00892BBA" w:rsidRPr="00CC1AAA" w:rsidRDefault="00DA7CC1">
      <w:pPr>
        <w:jc w:val="both"/>
        <w:rPr>
          <w:rFonts w:ascii="Arial" w:eastAsia="Arial" w:hAnsi="Arial" w:cs="Arial"/>
          <w:sz w:val="24"/>
          <w:szCs w:val="24"/>
        </w:rPr>
      </w:pPr>
      <w:r w:rsidRPr="00CC1AAA">
        <w:rPr>
          <w:rFonts w:ascii="Arial" w:eastAsia="Arial" w:hAnsi="Arial" w:cs="Arial"/>
          <w:sz w:val="24"/>
          <w:szCs w:val="24"/>
        </w:rPr>
        <w:t>For the purposes of this Schedule only, references in this Schedule to “</w:t>
      </w:r>
      <w:r w:rsidRPr="00CC1AAA">
        <w:rPr>
          <w:rFonts w:ascii="Arial" w:eastAsia="Arial" w:hAnsi="Arial" w:cs="Arial"/>
          <w:b/>
          <w:sz w:val="24"/>
          <w:szCs w:val="24"/>
        </w:rPr>
        <w:t>Contract Year</w:t>
      </w:r>
      <w:r w:rsidRPr="00CC1AAA">
        <w:rPr>
          <w:rFonts w:ascii="Arial" w:eastAsia="Arial" w:hAnsi="Arial" w:cs="Arial"/>
          <w:sz w:val="24"/>
          <w:szCs w:val="24"/>
        </w:rPr>
        <w:t>” mean a consecutive period of twelve (12) Months commencing on the Framework Start Date or each anniversary thereof.</w:t>
      </w:r>
    </w:p>
    <w:p w14:paraId="00000006" w14:textId="76983940" w:rsidR="00892BBA" w:rsidRPr="00CC1AAA" w:rsidRDefault="001A31F2" w:rsidP="001A31F2">
      <w:pPr>
        <w:numPr>
          <w:ilvl w:val="0"/>
          <w:numId w:val="1"/>
        </w:numPr>
        <w:pBdr>
          <w:top w:val="nil"/>
          <w:left w:val="nil"/>
          <w:bottom w:val="nil"/>
          <w:right w:val="nil"/>
          <w:between w:val="nil"/>
        </w:pBdr>
        <w:tabs>
          <w:tab w:val="left" w:pos="0"/>
        </w:tabs>
        <w:spacing w:before="240" w:after="240" w:line="240" w:lineRule="auto"/>
        <w:ind w:left="284" w:hanging="284"/>
        <w:jc w:val="both"/>
        <w:rPr>
          <w:rFonts w:ascii="Arial" w:eastAsia="Arial" w:hAnsi="Arial" w:cs="Arial"/>
          <w:b/>
          <w:color w:val="000000"/>
          <w:sz w:val="24"/>
          <w:szCs w:val="24"/>
        </w:rPr>
      </w:pPr>
      <w:bookmarkStart w:id="0" w:name="_heading=h.gjdgxs" w:colFirst="0" w:colLast="0"/>
      <w:bookmarkEnd w:id="0"/>
      <w:r w:rsidRPr="00CC1AAA">
        <w:rPr>
          <w:rFonts w:ascii="Arial" w:eastAsia="Arial" w:hAnsi="Arial" w:cs="Arial"/>
          <w:b/>
          <w:color w:val="000000"/>
          <w:sz w:val="24"/>
          <w:szCs w:val="24"/>
        </w:rPr>
        <w:t xml:space="preserve">   </w:t>
      </w:r>
      <w:r w:rsidR="00DA7CC1" w:rsidRPr="00CC1AAA">
        <w:rPr>
          <w:rFonts w:ascii="Arial" w:eastAsia="Arial" w:hAnsi="Arial" w:cs="Arial"/>
          <w:b/>
          <w:color w:val="000000"/>
          <w:sz w:val="24"/>
          <w:szCs w:val="24"/>
        </w:rPr>
        <w:t>How Framework Prices are used to calculate Call-Off Charges</w:t>
      </w:r>
    </w:p>
    <w:p w14:paraId="00000007" w14:textId="77777777" w:rsidR="00892BBA" w:rsidRPr="00CC1AAA" w:rsidRDefault="00DA7CC1">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 xml:space="preserve">The Framework Prices: </w:t>
      </w:r>
    </w:p>
    <w:p w14:paraId="00000008"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will be used as the basis for the charges (and are maximums that the Supplier may charge) under each Call-Off Contract; and</w:t>
      </w:r>
    </w:p>
    <w:p w14:paraId="00000009"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cannot be increased except as in accordance with this Schedule.</w:t>
      </w:r>
    </w:p>
    <w:p w14:paraId="0000000A" w14:textId="77777777" w:rsidR="00892BBA" w:rsidRPr="00CC1AAA" w:rsidRDefault="00DA7CC1">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The Charges:</w:t>
      </w:r>
    </w:p>
    <w:p w14:paraId="0000000B"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 xml:space="preserve">shall be calculated in accordance with the terms of the Call-Off Contract and in particular in accordance with the terms of the Order Form; </w:t>
      </w:r>
    </w:p>
    <w:p w14:paraId="0000000C"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cannot be increased except as specifically permitted by the Call-Off Contract; and</w:t>
      </w:r>
    </w:p>
    <w:p w14:paraId="0000000D"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 xml:space="preserve">shall not be impacted by any change to the Framework Prices. </w:t>
      </w:r>
    </w:p>
    <w:p w14:paraId="0000000E" w14:textId="5450E4B6" w:rsidR="00892BBA" w:rsidRPr="00CC1AAA" w:rsidRDefault="001A31F2">
      <w:pPr>
        <w:numPr>
          <w:ilvl w:val="0"/>
          <w:numId w:val="1"/>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bookmarkStart w:id="1" w:name="bookmark=id.3znysh7" w:colFirst="0" w:colLast="0"/>
      <w:bookmarkStart w:id="2" w:name="_heading=h.30j0zll" w:colFirst="0" w:colLast="0"/>
      <w:bookmarkEnd w:id="1"/>
      <w:bookmarkEnd w:id="2"/>
      <w:r w:rsidRPr="00CC1AAA">
        <w:rPr>
          <w:rFonts w:ascii="Arial" w:eastAsia="Arial" w:hAnsi="Arial" w:cs="Arial"/>
          <w:b/>
          <w:color w:val="000000"/>
          <w:sz w:val="24"/>
          <w:szCs w:val="24"/>
        </w:rPr>
        <w:t xml:space="preserve">   C</w:t>
      </w:r>
      <w:r w:rsidR="00DA7CC1" w:rsidRPr="00CC1AAA">
        <w:rPr>
          <w:rFonts w:ascii="Arial" w:eastAsia="Arial" w:hAnsi="Arial" w:cs="Arial"/>
          <w:b/>
          <w:color w:val="000000"/>
          <w:sz w:val="24"/>
          <w:szCs w:val="24"/>
        </w:rPr>
        <w:t>osts and expenses included in the Framework Prices</w:t>
      </w:r>
    </w:p>
    <w:p w14:paraId="0000000F" w14:textId="77777777" w:rsidR="00892BBA" w:rsidRPr="00CC1AAA" w:rsidRDefault="00DA7CC1">
      <w:pPr>
        <w:numPr>
          <w:ilvl w:val="1"/>
          <w:numId w:val="1"/>
        </w:numPr>
        <w:pBdr>
          <w:top w:val="nil"/>
          <w:left w:val="nil"/>
          <w:bottom w:val="nil"/>
          <w:right w:val="nil"/>
          <w:between w:val="nil"/>
        </w:pBdr>
        <w:tabs>
          <w:tab w:val="left" w:pos="1134"/>
          <w:tab w:val="left" w:pos="1980"/>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Except as expressly set out in Paragraph 6 below, or otherwise stated in an Order Form, the Framework Prices shall include all costs and expenses relating to the provision of Deliverables. No further amounts shall be payable.</w:t>
      </w:r>
    </w:p>
    <w:p w14:paraId="00000010" w14:textId="753E6F49" w:rsidR="00892BBA" w:rsidRPr="00CC1AAA" w:rsidRDefault="001A31F2">
      <w:pPr>
        <w:numPr>
          <w:ilvl w:val="0"/>
          <w:numId w:val="1"/>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r w:rsidRPr="00CC1AAA">
        <w:rPr>
          <w:rFonts w:ascii="Arial" w:eastAsia="Arial" w:hAnsi="Arial" w:cs="Arial"/>
          <w:b/>
          <w:color w:val="000000"/>
          <w:sz w:val="24"/>
          <w:szCs w:val="24"/>
        </w:rPr>
        <w:t xml:space="preserve">  </w:t>
      </w:r>
      <w:r w:rsidR="00DA7CC1" w:rsidRPr="00CC1AAA">
        <w:rPr>
          <w:rFonts w:ascii="Arial" w:eastAsia="Arial" w:hAnsi="Arial" w:cs="Arial"/>
          <w:b/>
          <w:color w:val="000000"/>
          <w:sz w:val="24"/>
          <w:szCs w:val="24"/>
        </w:rPr>
        <w:t>T</w:t>
      </w:r>
      <w:r w:rsidRPr="00CC1AAA">
        <w:rPr>
          <w:rFonts w:ascii="Arial" w:eastAsia="Arial" w:hAnsi="Arial" w:cs="Arial"/>
          <w:b/>
          <w:color w:val="000000"/>
          <w:sz w:val="24"/>
          <w:szCs w:val="24"/>
        </w:rPr>
        <w:t xml:space="preserve">ravel Time </w:t>
      </w:r>
    </w:p>
    <w:p w14:paraId="00000011" w14:textId="77777777" w:rsidR="00892BBA" w:rsidRPr="00CC1AAA" w:rsidRDefault="00DA7CC1">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bookmarkStart w:id="3" w:name="_heading=h.3znysh7" w:colFirst="0" w:colLast="0"/>
      <w:bookmarkEnd w:id="3"/>
      <w:r w:rsidRPr="00CC1AAA">
        <w:rPr>
          <w:rFonts w:ascii="Arial" w:eastAsia="Arial" w:hAnsi="Arial" w:cs="Arial"/>
          <w:color w:val="000000"/>
          <w:sz w:val="24"/>
          <w:szCs w:val="24"/>
        </w:rPr>
        <w:t>Time spent travelling shall not be chargeable except under Lot 4 only, where the applicable Call-Off Contract expressly permits travel time to be chargeable.</w:t>
      </w:r>
    </w:p>
    <w:p w14:paraId="00000012" w14:textId="77777777" w:rsidR="00892BBA" w:rsidRPr="00CC1AAA" w:rsidRDefault="00DA7CC1">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Where travel time is charged pursuant to Paragraph 3.1, it shall count towards the Volume Discount thresholds for Lot 4 for the purposes of Paragraph 8.</w:t>
      </w:r>
    </w:p>
    <w:p w14:paraId="00000013" w14:textId="758757FE" w:rsidR="00892BBA" w:rsidRPr="00CC1AAA" w:rsidRDefault="001A31F2">
      <w:pPr>
        <w:numPr>
          <w:ilvl w:val="0"/>
          <w:numId w:val="1"/>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bookmarkStart w:id="4" w:name="_heading=h.2s8eyo1" w:colFirst="0" w:colLast="0"/>
      <w:bookmarkEnd w:id="4"/>
      <w:r w:rsidRPr="00CC1AAA">
        <w:rPr>
          <w:rFonts w:ascii="Arial" w:eastAsia="Arial" w:hAnsi="Arial" w:cs="Arial"/>
          <w:b/>
          <w:color w:val="000000"/>
          <w:sz w:val="24"/>
          <w:szCs w:val="24"/>
        </w:rPr>
        <w:t xml:space="preserve">  </w:t>
      </w:r>
      <w:r w:rsidR="00DA7CC1" w:rsidRPr="00CC1AAA">
        <w:rPr>
          <w:rFonts w:ascii="Arial" w:eastAsia="Arial" w:hAnsi="Arial" w:cs="Arial"/>
          <w:b/>
          <w:color w:val="000000"/>
          <w:sz w:val="24"/>
          <w:szCs w:val="24"/>
        </w:rPr>
        <w:t xml:space="preserve">Indexation of the Framework Prices linked to inflation </w:t>
      </w:r>
    </w:p>
    <w:p w14:paraId="00000014" w14:textId="77777777" w:rsidR="00892BBA" w:rsidRPr="00CC1AAA" w:rsidRDefault="00DA7CC1">
      <w:pPr>
        <w:jc w:val="both"/>
        <w:rPr>
          <w:rFonts w:ascii="Arial" w:eastAsia="Arial" w:hAnsi="Arial" w:cs="Arial"/>
          <w:sz w:val="24"/>
          <w:szCs w:val="24"/>
        </w:rPr>
      </w:pPr>
      <w:bookmarkStart w:id="5" w:name="_heading=h.17dp8vu" w:colFirst="0" w:colLast="0"/>
      <w:bookmarkEnd w:id="5"/>
      <w:r w:rsidRPr="00CC1AAA">
        <w:rPr>
          <w:rFonts w:ascii="Arial" w:eastAsia="Arial" w:hAnsi="Arial" w:cs="Arial"/>
          <w:sz w:val="24"/>
          <w:szCs w:val="24"/>
        </w:rPr>
        <w:t>The following definitions are relevant to this Paragraph 4 and are supplemental to those set out in Joint Schedule 1 (Definitions):</w:t>
      </w:r>
    </w:p>
    <w:p w14:paraId="00000015" w14:textId="77777777" w:rsidR="00892BBA" w:rsidRPr="00CC1AAA" w:rsidRDefault="00DA7CC1">
      <w:pPr>
        <w:ind w:left="2835" w:hanging="2835"/>
        <w:jc w:val="both"/>
        <w:rPr>
          <w:rFonts w:ascii="Arial" w:eastAsia="Arial" w:hAnsi="Arial" w:cs="Arial"/>
          <w:sz w:val="24"/>
          <w:szCs w:val="24"/>
        </w:rPr>
      </w:pPr>
      <w:r w:rsidRPr="00CC1AAA">
        <w:rPr>
          <w:rFonts w:ascii="Arial" w:eastAsia="Arial" w:hAnsi="Arial" w:cs="Arial"/>
          <w:sz w:val="24"/>
          <w:szCs w:val="24"/>
        </w:rPr>
        <w:lastRenderedPageBreak/>
        <w:t>“</w:t>
      </w:r>
      <w:r w:rsidRPr="00CC1AAA">
        <w:rPr>
          <w:rFonts w:ascii="Arial" w:eastAsia="Arial" w:hAnsi="Arial" w:cs="Arial"/>
          <w:b/>
          <w:sz w:val="24"/>
          <w:szCs w:val="24"/>
        </w:rPr>
        <w:t>Current Framework Prices</w:t>
      </w:r>
      <w:r w:rsidRPr="00CC1AAA">
        <w:rPr>
          <w:rFonts w:ascii="Arial" w:eastAsia="Arial" w:hAnsi="Arial" w:cs="Arial"/>
          <w:sz w:val="24"/>
          <w:szCs w:val="24"/>
        </w:rPr>
        <w:t xml:space="preserve">” the </w:t>
      </w:r>
      <w:r w:rsidRPr="00CC1AAA">
        <w:rPr>
          <w:rFonts w:ascii="Arial" w:eastAsia="Arial" w:hAnsi="Arial" w:cs="Arial"/>
          <w:color w:val="000000"/>
          <w:sz w:val="24"/>
          <w:szCs w:val="24"/>
        </w:rPr>
        <w:t>Framework Prices which apply immediately prior to the relevant Inflation Change Date, and in relation to Lot 4 only discounting any increases made at any time pursuant to the Forex Tracker in Paragraph 10;</w:t>
      </w:r>
    </w:p>
    <w:p w14:paraId="00000016" w14:textId="77777777" w:rsidR="00892BBA" w:rsidRPr="00CC1AAA" w:rsidRDefault="00DA7CC1">
      <w:pPr>
        <w:ind w:left="2835" w:hanging="2835"/>
        <w:jc w:val="both"/>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b/>
          <w:sz w:val="24"/>
          <w:szCs w:val="24"/>
        </w:rPr>
        <w:t>Inflation Change Date</w:t>
      </w:r>
      <w:r w:rsidRPr="00CC1AAA">
        <w:rPr>
          <w:rFonts w:ascii="Arial" w:eastAsia="Arial" w:hAnsi="Arial" w:cs="Arial"/>
          <w:sz w:val="24"/>
          <w:szCs w:val="24"/>
        </w:rPr>
        <w:t>”</w:t>
      </w:r>
      <w:r w:rsidRPr="00CC1AAA">
        <w:rPr>
          <w:rFonts w:ascii="Arial" w:eastAsia="Arial" w:hAnsi="Arial" w:cs="Arial"/>
          <w:sz w:val="24"/>
          <w:szCs w:val="24"/>
        </w:rPr>
        <w:tab/>
        <w:t>the second anniversary of the Framework Start Date</w:t>
      </w:r>
      <w:r w:rsidRPr="00CC1AAA">
        <w:rPr>
          <w:rFonts w:ascii="Arial" w:eastAsia="Arial" w:hAnsi="Arial" w:cs="Arial"/>
          <w:sz w:val="24"/>
          <w:szCs w:val="24"/>
          <w:highlight w:val="white"/>
        </w:rPr>
        <w:t>, plus the third anniversary of the Framework Start Date if the Framework Contract is extended pursuant to Clause 10.1.2</w:t>
      </w:r>
      <w:r w:rsidRPr="00CC1AAA">
        <w:rPr>
          <w:rFonts w:ascii="Arial" w:eastAsia="Arial" w:hAnsi="Arial" w:cs="Arial"/>
          <w:sz w:val="24"/>
          <w:szCs w:val="24"/>
        </w:rPr>
        <w:t xml:space="preserve">; </w:t>
      </w:r>
    </w:p>
    <w:p w14:paraId="00000017" w14:textId="77777777" w:rsidR="00892BBA" w:rsidRPr="00CC1AAA" w:rsidRDefault="00DA7CC1">
      <w:pPr>
        <w:ind w:left="2835" w:hanging="2835"/>
        <w:jc w:val="both"/>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b/>
          <w:sz w:val="24"/>
          <w:szCs w:val="24"/>
        </w:rPr>
        <w:t>Inflation Issue Date</w:t>
      </w:r>
      <w:r w:rsidRPr="00CC1AAA">
        <w:rPr>
          <w:rFonts w:ascii="Arial" w:eastAsia="Arial" w:hAnsi="Arial" w:cs="Arial"/>
          <w:sz w:val="24"/>
          <w:szCs w:val="24"/>
        </w:rPr>
        <w:t xml:space="preserve">” </w:t>
      </w:r>
      <w:r w:rsidRPr="00CC1AAA">
        <w:rPr>
          <w:rFonts w:ascii="Arial" w:eastAsia="Arial" w:hAnsi="Arial" w:cs="Arial"/>
          <w:sz w:val="24"/>
          <w:szCs w:val="24"/>
        </w:rPr>
        <w:tab/>
        <w:t>the most recent date prior to the Inflation Change Date on which</w:t>
      </w:r>
      <w:r w:rsidRPr="00CC1AAA">
        <w:rPr>
          <w:rFonts w:ascii="Arial" w:eastAsia="Arial" w:hAnsi="Arial" w:cs="Arial"/>
          <w:color w:val="000000"/>
          <w:sz w:val="24"/>
          <w:szCs w:val="24"/>
        </w:rPr>
        <w:t xml:space="preserve"> the quarterly SPPI: Legal data is issued by the Office for National Statistics; </w:t>
      </w:r>
    </w:p>
    <w:p w14:paraId="00000018" w14:textId="77777777" w:rsidR="00892BBA" w:rsidRPr="00CC1AAA" w:rsidRDefault="00DA7CC1">
      <w:pPr>
        <w:ind w:left="2835" w:hanging="2835"/>
        <w:jc w:val="both"/>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b/>
          <w:sz w:val="24"/>
          <w:szCs w:val="24"/>
        </w:rPr>
        <w:t>Inflation Review Period</w:t>
      </w:r>
      <w:r w:rsidRPr="00CC1AAA">
        <w:rPr>
          <w:rFonts w:ascii="Arial" w:eastAsia="Arial" w:hAnsi="Arial" w:cs="Arial"/>
          <w:sz w:val="24"/>
          <w:szCs w:val="24"/>
        </w:rPr>
        <w:t xml:space="preserve">” </w:t>
      </w:r>
      <w:r w:rsidRPr="00CC1AAA">
        <w:rPr>
          <w:rFonts w:ascii="Arial" w:eastAsia="Arial" w:hAnsi="Arial" w:cs="Arial"/>
          <w:sz w:val="24"/>
          <w:szCs w:val="24"/>
        </w:rPr>
        <w:tab/>
        <w:t xml:space="preserve">the twelve (12) month period preceding </w:t>
      </w:r>
      <w:r w:rsidRPr="00CC1AAA">
        <w:rPr>
          <w:rFonts w:ascii="Arial" w:eastAsia="Arial" w:hAnsi="Arial" w:cs="Arial"/>
          <w:color w:val="000000"/>
          <w:sz w:val="24"/>
          <w:szCs w:val="24"/>
        </w:rPr>
        <w:t>the Inflation Issue Date;</w:t>
      </w:r>
    </w:p>
    <w:p w14:paraId="00000019" w14:textId="77777777" w:rsidR="00892BBA" w:rsidRPr="00CC1AAA" w:rsidRDefault="00DA7CC1">
      <w:pPr>
        <w:ind w:left="2835" w:hanging="2835"/>
        <w:jc w:val="both"/>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b/>
          <w:sz w:val="24"/>
          <w:szCs w:val="24"/>
        </w:rPr>
        <w:t>Inflation Tracker</w:t>
      </w:r>
      <w:r w:rsidRPr="00CC1AAA">
        <w:rPr>
          <w:rFonts w:ascii="Arial" w:eastAsia="Arial" w:hAnsi="Arial" w:cs="Arial"/>
          <w:sz w:val="24"/>
          <w:szCs w:val="24"/>
        </w:rPr>
        <w:t>”</w:t>
      </w:r>
      <w:r w:rsidRPr="00CC1AAA">
        <w:rPr>
          <w:rFonts w:ascii="Arial" w:eastAsia="Arial" w:hAnsi="Arial" w:cs="Arial"/>
          <w:sz w:val="24"/>
          <w:szCs w:val="24"/>
        </w:rPr>
        <w:tab/>
        <w:t>the mechanism for the indexation of the Framework Prices in response to movements in the SPPI: Legal, as set out in this Paragraph 4; and</w:t>
      </w:r>
    </w:p>
    <w:p w14:paraId="0000001A" w14:textId="2A825050" w:rsidR="00892BBA" w:rsidRPr="00CC1AAA" w:rsidRDefault="00DA7CC1">
      <w:pPr>
        <w:ind w:left="2835" w:hanging="2835"/>
        <w:jc w:val="both"/>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b/>
          <w:sz w:val="24"/>
          <w:szCs w:val="24"/>
        </w:rPr>
        <w:t>SPPI: Legal</w:t>
      </w:r>
      <w:r w:rsidRPr="00CC1AAA">
        <w:rPr>
          <w:rFonts w:ascii="Arial" w:eastAsia="Arial" w:hAnsi="Arial" w:cs="Arial"/>
          <w:sz w:val="24"/>
          <w:szCs w:val="24"/>
        </w:rPr>
        <w:t>”</w:t>
      </w:r>
      <w:r w:rsidRPr="00CC1AAA">
        <w:rPr>
          <w:rFonts w:ascii="Arial" w:eastAsia="Arial" w:hAnsi="Arial" w:cs="Arial"/>
          <w:sz w:val="24"/>
          <w:szCs w:val="24"/>
        </w:rPr>
        <w:tab/>
      </w:r>
      <w:r w:rsidRPr="00CC1AAA">
        <w:rPr>
          <w:rFonts w:ascii="Arial" w:eastAsia="Arial" w:hAnsi="Arial" w:cs="Arial"/>
          <w:color w:val="000000"/>
          <w:sz w:val="24"/>
          <w:szCs w:val="24"/>
        </w:rPr>
        <w:t>Services Producer Price Index - Output Domestic - M6910 Legal Services as published by the Office For National Statistics</w:t>
      </w:r>
      <w:r w:rsidRPr="00CC1AAA">
        <w:rPr>
          <w:rFonts w:ascii="Arial" w:eastAsia="Arial" w:hAnsi="Arial" w:cs="Arial"/>
          <w:sz w:val="24"/>
          <w:szCs w:val="24"/>
        </w:rPr>
        <w:t>.</w:t>
      </w:r>
    </w:p>
    <w:p w14:paraId="0000001B" w14:textId="77777777" w:rsidR="00892BBA" w:rsidRPr="00CC1AAA" w:rsidRDefault="00DA7CC1">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bookmarkStart w:id="6" w:name="_heading=h.3rdcrjn" w:colFirst="0" w:colLast="0"/>
      <w:bookmarkEnd w:id="6"/>
      <w:r w:rsidRPr="00CC1AAA">
        <w:rPr>
          <w:rFonts w:ascii="Arial" w:eastAsia="Arial" w:hAnsi="Arial" w:cs="Arial"/>
          <w:color w:val="000000"/>
          <w:sz w:val="24"/>
          <w:szCs w:val="24"/>
        </w:rPr>
        <w:t xml:space="preserve">If the Supplier wants the Current Framework Prices to be increased in accordance with Paragraph 4.2 with effect from an Inflation Change Date, the Supplier shall give CCS notice by email to </w:t>
      </w:r>
      <w:r w:rsidRPr="00CC1AAA">
        <w:rPr>
          <w:rFonts w:ascii="Arial" w:eastAsia="Arial" w:hAnsi="Arial" w:cs="Arial"/>
          <w:color w:val="000000"/>
          <w:sz w:val="24"/>
          <w:szCs w:val="24"/>
          <w:u w:val="single"/>
        </w:rPr>
        <w:t>info@crowncommercial.gov.uk</w:t>
      </w:r>
      <w:r w:rsidRPr="00CC1AAA">
        <w:rPr>
          <w:rFonts w:ascii="Arial" w:eastAsia="Arial" w:hAnsi="Arial" w:cs="Arial"/>
          <w:color w:val="000000"/>
          <w:sz w:val="24"/>
          <w:szCs w:val="24"/>
        </w:rPr>
        <w:t xml:space="preserve"> at least three (3) Months' notice prior to that Inflation Change Date. If the Supplier does not give notice in time, then it will only be able to request an increase prior to the next Inflation Change Date (if any). Separate requests for an increase must be made in accordance with this Paragraph 4.1 for each Inflation Change Date.</w:t>
      </w:r>
    </w:p>
    <w:p w14:paraId="0000001C" w14:textId="77777777" w:rsidR="00892BBA" w:rsidRPr="00CC1AAA" w:rsidRDefault="00DA7CC1">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bookmarkStart w:id="7" w:name="_heading=h.26in1rg" w:colFirst="0" w:colLast="0"/>
      <w:bookmarkEnd w:id="7"/>
      <w:r w:rsidRPr="00CC1AAA">
        <w:rPr>
          <w:rFonts w:ascii="Arial" w:eastAsia="Arial" w:hAnsi="Arial" w:cs="Arial"/>
          <w:color w:val="000000"/>
          <w:sz w:val="24"/>
          <w:szCs w:val="24"/>
        </w:rPr>
        <w:t>Where requested in accordance with Paragraph 4.1, the Current Framework Prices shall be adjusted on the relevant Inflation Change Date in line with changes in the SPPI: Legal as follows:</w:t>
      </w:r>
    </w:p>
    <w:p w14:paraId="0000001D"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 xml:space="preserve">if there is a decrease in the SPPI: Legal over the Inflation Review Period, no adjustment will be made to the Current Framework Prices; </w:t>
      </w:r>
    </w:p>
    <w:p w14:paraId="0000001E"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 xml:space="preserve">if the percentage increase in the SPPI: Legal over the Inflation Review Period is less than 2%, no adjustment will be made to the Current Framework Prices; </w:t>
      </w:r>
    </w:p>
    <w:p w14:paraId="0000001F"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 xml:space="preserve">if the percentage increase in the SPPI: Legal over the Inflation Review Period is between 2% and 3.9%, the Current Framework Prices shall be increased by 2% with effect from such Inflation Change Date; </w:t>
      </w:r>
    </w:p>
    <w:p w14:paraId="00000020"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lastRenderedPageBreak/>
        <w:t>if the percentage increase in the SPPI: Legal over Inflation Review Period is between 4% and 5.9%, the Current Framework Prices shall be increased by 4% with effect from such Inflation Change Date; and</w:t>
      </w:r>
    </w:p>
    <w:p w14:paraId="00000021"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if the percentage increase in the SPPI: Legal over the Inflation Review Period is equal to or in excess of 6%, the Current Framework Prices shall be increased by 6% with effect from such Inflation Change Date.</w:t>
      </w:r>
    </w:p>
    <w:p w14:paraId="00000022" w14:textId="77777777" w:rsidR="00892BBA" w:rsidRPr="00CC1AAA" w:rsidRDefault="00DA7CC1">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highlight w:val="white"/>
        </w:rPr>
      </w:pPr>
      <w:r w:rsidRPr="00CC1AAA">
        <w:rPr>
          <w:rFonts w:ascii="Arial" w:eastAsia="Arial" w:hAnsi="Arial" w:cs="Arial"/>
          <w:color w:val="000000"/>
          <w:sz w:val="24"/>
          <w:szCs w:val="24"/>
          <w:highlight w:val="white"/>
        </w:rPr>
        <w:t xml:space="preserve">The first Inflation Change Date is the second anniversary of the Framework Start Date, meaning that the Framework Prices shall not be adjusted pursuant to the Inflation Tracker during the first two (2) Contract Years.  </w:t>
      </w:r>
    </w:p>
    <w:p w14:paraId="00000023" w14:textId="77777777" w:rsidR="00892BBA" w:rsidRPr="00CC1AAA" w:rsidRDefault="00DA7CC1">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 xml:space="preserve">On the second anniversary of the Framework Start Date and the third anniversary of the Framework Start Date (if applicable), the Inflation Tracker shall be applied (provided it has been requested in accordance with Paragraph 4.1 in each case) to the Current Framework Prices first, and then the Forex Tracker in Paragraph 10 will be applied to the Current Framework Prices as adjusted (if applicable) pursuant to the Inflation Tracker. </w:t>
      </w:r>
    </w:p>
    <w:p w14:paraId="00000024"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highlight w:val="white"/>
        </w:rPr>
      </w:pPr>
      <w:r w:rsidRPr="00CC1AAA">
        <w:rPr>
          <w:rFonts w:ascii="Arial" w:eastAsia="Arial" w:hAnsi="Arial" w:cs="Arial"/>
          <w:color w:val="000000"/>
          <w:sz w:val="24"/>
          <w:szCs w:val="24"/>
          <w:highlight w:val="white"/>
        </w:rPr>
        <w:t>A worked example of the Inflation Tracker is provided in Annex 3 for illustrative purposes.</w:t>
      </w:r>
    </w:p>
    <w:p w14:paraId="00000025"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 xml:space="preserve">Where the SPPI: Legal:     </w:t>
      </w:r>
    </w:p>
    <w:p w14:paraId="00000026"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used to carry out an indexation calculation is updated then the indexation calculation shall also be updated unless CCS and the Supplier agree otherwise; or</w:t>
      </w:r>
    </w:p>
    <w:p w14:paraId="00000027"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is no longer published, CCS and the Supplier shall agree a fair and reasonable replacement that will have substantially the same effect.</w:t>
      </w:r>
    </w:p>
    <w:p w14:paraId="00000028" w14:textId="3CD866DA" w:rsidR="00892BBA" w:rsidRPr="00CC1AAA" w:rsidRDefault="001A31F2" w:rsidP="00CC1AAA">
      <w:pPr>
        <w:numPr>
          <w:ilvl w:val="0"/>
          <w:numId w:val="1"/>
        </w:numPr>
        <w:pBdr>
          <w:top w:val="nil"/>
          <w:left w:val="nil"/>
          <w:bottom w:val="nil"/>
          <w:right w:val="nil"/>
          <w:between w:val="nil"/>
        </w:pBdr>
        <w:tabs>
          <w:tab w:val="left" w:pos="0"/>
        </w:tabs>
        <w:spacing w:before="240" w:after="240" w:line="240" w:lineRule="auto"/>
        <w:ind w:left="142" w:hanging="142"/>
        <w:jc w:val="both"/>
        <w:rPr>
          <w:rFonts w:ascii="Arial" w:eastAsia="Arial" w:hAnsi="Arial" w:cs="Arial"/>
          <w:b/>
          <w:color w:val="000000"/>
          <w:sz w:val="24"/>
          <w:szCs w:val="24"/>
        </w:rPr>
      </w:pPr>
      <w:bookmarkStart w:id="8" w:name="_heading=h.lnxbz9" w:colFirst="0" w:colLast="0"/>
      <w:bookmarkEnd w:id="8"/>
      <w:r w:rsidRPr="00CC1AAA">
        <w:rPr>
          <w:rFonts w:ascii="Arial" w:eastAsia="Arial" w:hAnsi="Arial" w:cs="Arial"/>
          <w:b/>
          <w:color w:val="000000"/>
          <w:sz w:val="24"/>
          <w:szCs w:val="24"/>
        </w:rPr>
        <w:t xml:space="preserve">  </w:t>
      </w:r>
      <w:r w:rsidR="00DA7CC1" w:rsidRPr="00CC1AAA">
        <w:rPr>
          <w:rFonts w:ascii="Arial" w:eastAsia="Arial" w:hAnsi="Arial" w:cs="Arial"/>
          <w:b/>
          <w:color w:val="000000"/>
          <w:sz w:val="24"/>
          <w:szCs w:val="24"/>
        </w:rPr>
        <w:t xml:space="preserve">Other events that allow the Supplier to </w:t>
      </w:r>
      <w:r w:rsidR="00CC1AAA" w:rsidRPr="00CC1AAA">
        <w:rPr>
          <w:rFonts w:ascii="Arial" w:eastAsia="Arial" w:hAnsi="Arial" w:cs="Arial"/>
          <w:b/>
          <w:color w:val="000000"/>
          <w:sz w:val="24"/>
          <w:szCs w:val="24"/>
        </w:rPr>
        <w:t>propose a</w:t>
      </w:r>
      <w:r w:rsidR="00DA7CC1" w:rsidRPr="00CC1AAA">
        <w:rPr>
          <w:rFonts w:ascii="Arial" w:eastAsia="Arial" w:hAnsi="Arial" w:cs="Arial"/>
          <w:b/>
          <w:color w:val="000000"/>
          <w:sz w:val="24"/>
          <w:szCs w:val="24"/>
        </w:rPr>
        <w:t xml:space="preserve"> change to the Framework Prices</w:t>
      </w:r>
    </w:p>
    <w:p w14:paraId="00000029"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The Framework Prices can also be varied due to:</w:t>
      </w:r>
    </w:p>
    <w:p w14:paraId="0000002A"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a Specific Change in Law in accordance with Clause 24;</w:t>
      </w:r>
    </w:p>
    <w:p w14:paraId="0000002B"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 xml:space="preserve">a review in accordance with insurance requirements in Clause 13; </w:t>
      </w:r>
    </w:p>
    <w:p w14:paraId="0000002C"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a benchmarking review in accordance with Call-Off Schedule 16 (Benchmarking); and</w:t>
      </w:r>
    </w:p>
    <w:p w14:paraId="0000002D"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a request from the Supplier, which it can make at any time, to decrease the Framework Prices.</w:t>
      </w:r>
    </w:p>
    <w:p w14:paraId="0000002E" w14:textId="60ED2208" w:rsidR="00892BBA" w:rsidRPr="00CC1AAA" w:rsidRDefault="00CC1AAA">
      <w:pPr>
        <w:numPr>
          <w:ilvl w:val="0"/>
          <w:numId w:val="1"/>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bookmarkStart w:id="9" w:name="_heading=h.35nkun2" w:colFirst="0" w:colLast="0"/>
      <w:bookmarkEnd w:id="9"/>
      <w:r w:rsidRPr="00CC1AAA">
        <w:rPr>
          <w:rFonts w:ascii="Arial" w:eastAsia="Arial" w:hAnsi="Arial" w:cs="Arial"/>
          <w:b/>
          <w:smallCaps/>
          <w:color w:val="000000"/>
          <w:sz w:val="24"/>
          <w:szCs w:val="24"/>
        </w:rPr>
        <w:t xml:space="preserve">  </w:t>
      </w:r>
      <w:r w:rsidR="00DA7CC1" w:rsidRPr="00CC1AAA">
        <w:rPr>
          <w:rFonts w:ascii="Arial" w:eastAsia="Arial" w:hAnsi="Arial" w:cs="Arial"/>
          <w:b/>
          <w:color w:val="000000"/>
          <w:sz w:val="24"/>
          <w:szCs w:val="24"/>
        </w:rPr>
        <w:t>When you will be entitled to expenses, Disbursements and other charges</w:t>
      </w:r>
    </w:p>
    <w:p w14:paraId="0000002F"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bookmarkStart w:id="10" w:name="_heading=h.1ksv4uv" w:colFirst="0" w:colLast="0"/>
      <w:bookmarkEnd w:id="10"/>
      <w:r w:rsidRPr="00CC1AAA">
        <w:rPr>
          <w:rFonts w:ascii="Arial" w:eastAsia="Arial" w:hAnsi="Arial" w:cs="Arial"/>
          <w:color w:val="000000"/>
          <w:sz w:val="24"/>
          <w:szCs w:val="24"/>
        </w:rPr>
        <w:t>Expenses shall only be recoverable where:</w:t>
      </w:r>
    </w:p>
    <w:p w14:paraId="00000030"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the Order Form states that recovery is permitted; and</w:t>
      </w:r>
    </w:p>
    <w:p w14:paraId="00000031"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bookmarkStart w:id="11" w:name="_heading=h.tyjcwt" w:colFirst="0" w:colLast="0"/>
      <w:bookmarkEnd w:id="11"/>
      <w:r w:rsidRPr="00CC1AAA">
        <w:rPr>
          <w:rFonts w:ascii="Arial" w:eastAsia="Arial" w:hAnsi="Arial" w:cs="Arial"/>
          <w:color w:val="000000"/>
          <w:sz w:val="24"/>
          <w:szCs w:val="24"/>
        </w:rPr>
        <w:t>they are Reimbursable Expenses and are supported by Supporting Documentation.</w:t>
      </w:r>
    </w:p>
    <w:p w14:paraId="00000032"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The Buyer shall provide a copy of their current expenses policy to the Supplier upon request.</w:t>
      </w:r>
    </w:p>
    <w:p w14:paraId="00000033"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lastRenderedPageBreak/>
        <w:t>Where stated within the Call-Off Order Form, and where the applicable invoice is supported by Supporting Documentation, the Supplier shall be entitled to be paid the following:</w:t>
      </w:r>
    </w:p>
    <w:p w14:paraId="00000034"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Disbursements;</w:t>
      </w:r>
    </w:p>
    <w:p w14:paraId="00000035"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 xml:space="preserve">any Additional Training Charge; and </w:t>
      </w:r>
    </w:p>
    <w:p w14:paraId="00000036"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bookmarkStart w:id="12" w:name="_heading=h.44sinio" w:colFirst="0" w:colLast="0"/>
      <w:bookmarkEnd w:id="12"/>
      <w:r w:rsidRPr="00CC1AAA">
        <w:rPr>
          <w:rFonts w:ascii="Arial" w:eastAsia="Arial" w:hAnsi="Arial" w:cs="Arial"/>
          <w:color w:val="000000"/>
          <w:sz w:val="24"/>
          <w:szCs w:val="24"/>
        </w:rPr>
        <w:t xml:space="preserve">Secondment Charges.     </w:t>
      </w:r>
    </w:p>
    <w:p w14:paraId="00000037" w14:textId="6FF1EDC5" w:rsidR="00892BBA" w:rsidRPr="00CC1AAA" w:rsidRDefault="00CC1AAA">
      <w:pPr>
        <w:numPr>
          <w:ilvl w:val="0"/>
          <w:numId w:val="1"/>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bookmarkStart w:id="13" w:name="_heading=h.2jxsxqh" w:colFirst="0" w:colLast="0"/>
      <w:bookmarkEnd w:id="13"/>
      <w:r w:rsidRPr="00CC1AAA">
        <w:rPr>
          <w:rFonts w:ascii="Arial" w:eastAsia="Arial" w:hAnsi="Arial" w:cs="Arial"/>
          <w:b/>
          <w:color w:val="000000"/>
          <w:sz w:val="24"/>
          <w:szCs w:val="24"/>
        </w:rPr>
        <w:t xml:space="preserve">  </w:t>
      </w:r>
      <w:r w:rsidR="00DA7CC1" w:rsidRPr="00CC1AAA">
        <w:rPr>
          <w:rFonts w:ascii="Arial" w:eastAsia="Arial" w:hAnsi="Arial" w:cs="Arial"/>
          <w:b/>
          <w:color w:val="000000"/>
          <w:sz w:val="24"/>
          <w:szCs w:val="24"/>
        </w:rPr>
        <w:t xml:space="preserve">Volume Discount arrangements for Lots 1, 2, 3 and 5 </w:t>
      </w:r>
    </w:p>
    <w:p w14:paraId="00000038"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b/>
          <w:color w:val="000000"/>
          <w:sz w:val="24"/>
          <w:szCs w:val="24"/>
        </w:rPr>
      </w:pPr>
      <w:r w:rsidRPr="00CC1AAA">
        <w:rPr>
          <w:rFonts w:ascii="Arial" w:eastAsia="Arial" w:hAnsi="Arial" w:cs="Arial"/>
          <w:color w:val="000000"/>
          <w:sz w:val="24"/>
          <w:szCs w:val="24"/>
        </w:rPr>
        <w:t>This Paragraph 7 applies to Volume Discounts submitted by a Supplier as part of their Framework Tender Response for Lot 1, Lot 2, Lot 3 or Lot 5.</w:t>
      </w:r>
    </w:p>
    <w:p w14:paraId="00000039"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The expenses, Disbursement and other charges which the Supplier is entitled to be paid for under Paragraph 6 shall:</w:t>
      </w:r>
    </w:p>
    <w:p w14:paraId="0000003A"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not be subject to the application of the Volume Discount; and</w:t>
      </w:r>
    </w:p>
    <w:p w14:paraId="0000003B"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 xml:space="preserve">not count towards the thresholds in Paragraph 7.4; </w:t>
      </w:r>
    </w:p>
    <w:p w14:paraId="0000003C" w14:textId="77777777" w:rsidR="00892BBA" w:rsidRPr="00CC1AAA" w:rsidRDefault="00DA7CC1" w:rsidP="00CC1AAA">
      <w:pPr>
        <w:pBdr>
          <w:top w:val="nil"/>
          <w:left w:val="nil"/>
          <w:bottom w:val="nil"/>
          <w:right w:val="nil"/>
          <w:between w:val="nil"/>
        </w:pBdr>
        <w:tabs>
          <w:tab w:val="left" w:pos="1134"/>
        </w:tabs>
        <w:spacing w:before="120" w:after="120" w:line="240" w:lineRule="auto"/>
        <w:ind w:left="644"/>
        <w:jc w:val="both"/>
        <w:rPr>
          <w:rFonts w:ascii="Arial" w:eastAsia="Arial" w:hAnsi="Arial" w:cs="Arial"/>
          <w:color w:val="000000"/>
          <w:sz w:val="24"/>
          <w:szCs w:val="24"/>
        </w:rPr>
      </w:pPr>
      <w:r w:rsidRPr="00CC1AAA">
        <w:rPr>
          <w:rFonts w:ascii="Arial" w:eastAsia="Arial" w:hAnsi="Arial" w:cs="Arial"/>
          <w:color w:val="000000"/>
          <w:sz w:val="24"/>
          <w:szCs w:val="24"/>
        </w:rPr>
        <w:t>and references to “Charges” in this Paragraph 7 shall be construed to exclude such amounts.</w:t>
      </w:r>
    </w:p>
    <w:p w14:paraId="0000003D"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b/>
          <w:color w:val="000000"/>
          <w:sz w:val="24"/>
          <w:szCs w:val="24"/>
        </w:rPr>
      </w:pPr>
      <w:r w:rsidRPr="00CC1AAA">
        <w:rPr>
          <w:rFonts w:ascii="Arial" w:eastAsia="Arial" w:hAnsi="Arial" w:cs="Arial"/>
          <w:color w:val="000000"/>
          <w:sz w:val="24"/>
          <w:szCs w:val="24"/>
        </w:rPr>
        <w:t>Volume Discounts will be expressed as a percentage reduction applicable to all Charges invoiced above the specified thresholds after each threshold has been met, as set out in Paragraph 7.4.</w:t>
      </w:r>
    </w:p>
    <w:p w14:paraId="0000003E"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bookmarkStart w:id="14" w:name="_heading=h.z337ya" w:colFirst="0" w:colLast="0"/>
      <w:bookmarkEnd w:id="14"/>
      <w:r w:rsidRPr="00CC1AAA">
        <w:rPr>
          <w:rFonts w:ascii="Arial" w:eastAsia="Arial" w:hAnsi="Arial" w:cs="Arial"/>
          <w:color w:val="000000"/>
          <w:sz w:val="24"/>
          <w:szCs w:val="24"/>
        </w:rPr>
        <w:t>The thresholds relate to all Charges invoiced to all Buyers by the Supplier under the Framework Contract within any Contract Year cumulatively across Lots 1, 2, 3 and 5 across all Call-Off Contracts. The Volume Discount thresholds are set as follows:</w:t>
      </w:r>
    </w:p>
    <w:p w14:paraId="0000003F"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threshold 1 is one million pounds sterling (£1m);</w:t>
      </w:r>
    </w:p>
    <w:p w14:paraId="00000040"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threshold 2 is two and a half million pounds sterling (£2.5m); and</w:t>
      </w:r>
    </w:p>
    <w:p w14:paraId="00000041"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threshold 3 is five million pounds sterling (£5m).</w:t>
      </w:r>
    </w:p>
    <w:p w14:paraId="00000042"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Once a Supplier has submitted invoices to Buyers under their Call-Off Contracts for Charges which either individually or collectively exceed the relevant threshold (e.g. threshold 1 is £1m) the relevant Volume Discount percentage will be automatically applied to the cost of Deliverables performed/provided from the 1st of the Month after the date and time the relevant threshold was met and shall apply to all subsequent Charges invoiced in respect of Deliverables performed/provided by the Supplier, until either:</w:t>
      </w:r>
    </w:p>
    <w:p w14:paraId="00000043"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the next Volume Discount threshold is reached (e.g. threshold 2 of £2.5m, or threshold 3 of £5m, as applicable); or</w:t>
      </w:r>
    </w:p>
    <w:p w14:paraId="00000044"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the Contract Year ends, and the accumulated amounts invoiced are reset for the next Contract Year.</w:t>
      </w:r>
    </w:p>
    <w:p w14:paraId="00000045"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The Volume Discounts against each threshold set out in Table 1 of Annex 2 of this Schedule apply at the stated rate as discrete stand-alone discounts to all invoiced Charges for Deliverables performed/provided under Call-Off Contracts under all Lots which the Supplier is appointed to except Lot 4.</w:t>
      </w:r>
    </w:p>
    <w:p w14:paraId="00000046"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lastRenderedPageBreak/>
        <w:t>Volume Discounts will be applied:</w:t>
      </w:r>
    </w:p>
    <w:p w14:paraId="00000047"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as a percentage deduction to all invoiced Charges, regardless of Supplier Staff grade band or Pricing Mechanism used; and</w:t>
      </w:r>
    </w:p>
    <w:p w14:paraId="00000048"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to all invoiced Charges and not apportioned to particular Buyers;</w:t>
      </w:r>
    </w:p>
    <w:p w14:paraId="00000049"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to all invoiced Charges regardless of increases to Framework Prices or any component or sum thereto, in line with this Schedule; and</w:t>
      </w:r>
    </w:p>
    <w:p w14:paraId="0000004A"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on the basis of a Contract Year and will be re-set at the start of each Contract Year.</w:t>
      </w:r>
    </w:p>
    <w:p w14:paraId="0000004B"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Charges relating to Deliverables received by Buyers under a Call-Off Contract must be invoiced (and any applicable Volume Discount applied) in the Month in which they are performed, unless agreed or specified otherwise in the Order Form.  Any delay to the production and issuing of an invoice must not impinge the accurate application of any Volume Discounts relative to the applicable date(s) upon which Deliverables were performed/provided.</w:t>
      </w:r>
    </w:p>
    <w:p w14:paraId="0000004C"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The Supplier shall not make any reference to its Volume Discounts or the proximity it is to any Volume Discount threshold in any responses to a direct award or Further Competition Procedure undertaken in accordance with Framework Schedule 7 (Call-Off Award Procedure) regarding any Call-Off Contract.  Volume Discounts shall not be taken into consideration by Buyers in determining the award of a Call-Off Contract.</w:t>
      </w:r>
    </w:p>
    <w:p w14:paraId="0000004D" w14:textId="7B2EE8C9" w:rsidR="00892BBA" w:rsidRPr="00CC1AAA" w:rsidRDefault="00CC1AAA">
      <w:pPr>
        <w:numPr>
          <w:ilvl w:val="0"/>
          <w:numId w:val="1"/>
        </w:numPr>
        <w:pBdr>
          <w:top w:val="nil"/>
          <w:left w:val="nil"/>
          <w:bottom w:val="nil"/>
          <w:right w:val="nil"/>
          <w:between w:val="nil"/>
        </w:pBdr>
        <w:tabs>
          <w:tab w:val="left" w:pos="0"/>
        </w:tabs>
        <w:spacing w:before="240" w:after="240" w:line="240" w:lineRule="auto"/>
        <w:jc w:val="both"/>
        <w:rPr>
          <w:rFonts w:ascii="Arial Bold" w:eastAsia="Arial" w:hAnsi="Arial Bold" w:cs="Arial"/>
          <w:b/>
          <w:color w:val="000000"/>
          <w:sz w:val="24"/>
          <w:szCs w:val="24"/>
        </w:rPr>
      </w:pPr>
      <w:bookmarkStart w:id="15" w:name="_heading=h.3dy6vkm" w:colFirst="0" w:colLast="0"/>
      <w:bookmarkEnd w:id="15"/>
      <w:r>
        <w:rPr>
          <w:rFonts w:ascii="Arial" w:eastAsia="Arial" w:hAnsi="Arial" w:cs="Arial"/>
          <w:b/>
          <w:smallCaps/>
          <w:color w:val="000000"/>
          <w:sz w:val="24"/>
          <w:szCs w:val="24"/>
        </w:rPr>
        <w:t xml:space="preserve">  </w:t>
      </w:r>
      <w:r w:rsidR="00DA7CC1" w:rsidRPr="00CC1AAA">
        <w:rPr>
          <w:rFonts w:ascii="Arial Bold" w:eastAsia="Arial" w:hAnsi="Arial Bold" w:cs="Arial"/>
          <w:b/>
          <w:color w:val="000000"/>
          <w:sz w:val="24"/>
          <w:szCs w:val="24"/>
        </w:rPr>
        <w:t>Volume Discount arrangements for Lot 4</w:t>
      </w:r>
    </w:p>
    <w:p w14:paraId="0000004E" w14:textId="77777777" w:rsidR="00892BBA" w:rsidRPr="00CC1AAA" w:rsidRDefault="00DA7CC1">
      <w:pPr>
        <w:jc w:val="both"/>
        <w:rPr>
          <w:rFonts w:ascii="Arial" w:eastAsia="Arial" w:hAnsi="Arial" w:cs="Arial"/>
          <w:sz w:val="24"/>
          <w:szCs w:val="24"/>
        </w:rPr>
      </w:pPr>
      <w:r w:rsidRPr="00CC1AAA">
        <w:rPr>
          <w:rFonts w:ascii="Arial" w:eastAsia="Arial" w:hAnsi="Arial" w:cs="Arial"/>
          <w:sz w:val="24"/>
          <w:szCs w:val="24"/>
        </w:rPr>
        <w:t>The following definition is relevant to this Paragraph 8 and is supplemental to those set out in Joint Schedule 1 (Definitions):</w:t>
      </w:r>
    </w:p>
    <w:p w14:paraId="0000004F" w14:textId="77777777" w:rsidR="00892BBA" w:rsidRPr="00CC1AAA" w:rsidRDefault="00DA7CC1">
      <w:pPr>
        <w:ind w:left="2835" w:hanging="2835"/>
        <w:jc w:val="both"/>
        <w:rPr>
          <w:rFonts w:ascii="Arial" w:eastAsia="Arial" w:hAnsi="Arial" w:cs="Arial"/>
          <w:sz w:val="24"/>
          <w:szCs w:val="24"/>
        </w:rPr>
      </w:pPr>
      <w:r w:rsidRPr="00CC1AAA">
        <w:rPr>
          <w:rFonts w:ascii="Arial" w:eastAsia="Arial" w:hAnsi="Arial" w:cs="Arial"/>
          <w:b/>
          <w:color w:val="000000"/>
          <w:sz w:val="24"/>
          <w:szCs w:val="24"/>
        </w:rPr>
        <w:t>“Hours</w:t>
      </w:r>
      <w:r w:rsidRPr="00CC1AAA">
        <w:rPr>
          <w:rFonts w:ascii="Arial" w:eastAsia="Arial" w:hAnsi="Arial" w:cs="Arial"/>
          <w:color w:val="000000"/>
          <w:sz w:val="24"/>
          <w:szCs w:val="24"/>
        </w:rPr>
        <w:t xml:space="preserve">” </w:t>
      </w:r>
      <w:r w:rsidRPr="00CC1AAA">
        <w:rPr>
          <w:rFonts w:ascii="Arial" w:eastAsia="Arial" w:hAnsi="Arial" w:cs="Arial"/>
          <w:color w:val="000000"/>
          <w:sz w:val="24"/>
          <w:szCs w:val="24"/>
        </w:rPr>
        <w:tab/>
        <w:t>hours spent by the Supplier on the provision of the Deliverables under Lot 4 and which are invoiced to a Buyer by way of Charges.</w:t>
      </w:r>
    </w:p>
    <w:p w14:paraId="00000050"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b/>
          <w:color w:val="000000"/>
          <w:sz w:val="24"/>
          <w:szCs w:val="24"/>
        </w:rPr>
      </w:pPr>
      <w:r w:rsidRPr="00CC1AAA">
        <w:rPr>
          <w:rFonts w:ascii="Arial" w:eastAsia="Arial" w:hAnsi="Arial" w:cs="Arial"/>
          <w:color w:val="000000"/>
          <w:sz w:val="24"/>
          <w:szCs w:val="24"/>
        </w:rPr>
        <w:t>This Paragraph 8 applies to Volume Discounts submitted by a Supplier as part of their Framework Tender Response for Lot 4. The Volume Discount mechanism under this Paragraph 8 applies:</w:t>
      </w:r>
    </w:p>
    <w:p w14:paraId="00000051"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to Lot 4 only, and any work done by the Supplier under any other Lot shall not fall within the scope of the Volume Discount mechanism under this Paragraph 8;</w:t>
      </w:r>
    </w:p>
    <w:p w14:paraId="00000052"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 xml:space="preserve">separately to each Call-Off Contract under Lot 4, meaning that the thresholds in Paragraph 8.4 apply per Call-Off Contract, and shall not be aggregated across one or more Call-Off Contracts.  </w:t>
      </w:r>
    </w:p>
    <w:p w14:paraId="00000053" w14:textId="67E43656"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Hours which relate to Secondment Charges</w:t>
      </w:r>
      <w:r w:rsidR="00EF31EE">
        <w:rPr>
          <w:rFonts w:ascii="Arial" w:eastAsia="Arial" w:hAnsi="Arial" w:cs="Arial"/>
          <w:color w:val="000000"/>
          <w:sz w:val="24"/>
          <w:szCs w:val="24"/>
        </w:rPr>
        <w:t>, Additional Training Charges, and Disbursements,</w:t>
      </w:r>
      <w:r w:rsidRPr="00CC1AAA">
        <w:rPr>
          <w:rFonts w:ascii="Arial" w:eastAsia="Arial" w:hAnsi="Arial" w:cs="Arial"/>
          <w:color w:val="000000"/>
          <w:sz w:val="24"/>
          <w:szCs w:val="24"/>
        </w:rPr>
        <w:t xml:space="preserve"> which the Supplier is entitled to be paid for under Paragraph 6.3 shall:</w:t>
      </w:r>
    </w:p>
    <w:p w14:paraId="00000054"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not be subject to the application of the Volume Discount; and</w:t>
      </w:r>
    </w:p>
    <w:p w14:paraId="00000055" w14:textId="77777777" w:rsidR="00892BBA" w:rsidRPr="00CC1AAA" w:rsidRDefault="00DA7CC1" w:rsidP="00CE1FB0">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 xml:space="preserve">not count towards the thresholds in Paragraph 8.4; </w:t>
      </w:r>
    </w:p>
    <w:p w14:paraId="00000056" w14:textId="77777777" w:rsidR="00892BBA" w:rsidRPr="00CC1AAA" w:rsidRDefault="00DA7CC1" w:rsidP="004A1770">
      <w:pPr>
        <w:pBdr>
          <w:top w:val="nil"/>
          <w:left w:val="nil"/>
          <w:bottom w:val="nil"/>
          <w:right w:val="nil"/>
          <w:between w:val="nil"/>
        </w:pBdr>
        <w:tabs>
          <w:tab w:val="left" w:pos="1134"/>
        </w:tabs>
        <w:spacing w:before="120" w:after="120" w:line="240" w:lineRule="auto"/>
        <w:ind w:left="567"/>
        <w:jc w:val="both"/>
        <w:rPr>
          <w:rFonts w:ascii="Arial" w:eastAsia="Arial" w:hAnsi="Arial" w:cs="Arial"/>
          <w:color w:val="000000"/>
          <w:sz w:val="24"/>
          <w:szCs w:val="24"/>
        </w:rPr>
      </w:pPr>
      <w:r w:rsidRPr="00CC1AAA">
        <w:rPr>
          <w:rFonts w:ascii="Arial" w:eastAsia="Arial" w:hAnsi="Arial" w:cs="Arial"/>
          <w:color w:val="000000"/>
          <w:sz w:val="24"/>
          <w:szCs w:val="24"/>
        </w:rPr>
        <w:lastRenderedPageBreak/>
        <w:t>and references to “Charges” in this Paragraph 8 shall be construed to exclude such amounts.</w:t>
      </w:r>
    </w:p>
    <w:p w14:paraId="00000057"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b/>
          <w:color w:val="000000"/>
          <w:sz w:val="24"/>
          <w:szCs w:val="24"/>
        </w:rPr>
      </w:pPr>
      <w:r w:rsidRPr="00CC1AAA">
        <w:rPr>
          <w:rFonts w:ascii="Arial" w:eastAsia="Arial" w:hAnsi="Arial" w:cs="Arial"/>
          <w:color w:val="000000"/>
          <w:sz w:val="24"/>
          <w:szCs w:val="24"/>
        </w:rPr>
        <w:t>Volume Discounts will be expressed as a percentage reduction applicable to all Charges invoiced above the specified thresholds after each threshold has been met, as set out in Paragraph 8.4.</w:t>
      </w:r>
    </w:p>
    <w:p w14:paraId="00000058" w14:textId="2D6C41B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The thresholds relate to all Hours invoiced by the Supplier under a Call-Off Contract. The Volume Discount thresholds are set as follows:</w:t>
      </w:r>
    </w:p>
    <w:p w14:paraId="00000059" w14:textId="77777777" w:rsidR="00892BBA" w:rsidRPr="00CC1AAA" w:rsidRDefault="00DA7CC1" w:rsidP="00302639">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threshold 1 is five hundred (500) Hours;</w:t>
      </w:r>
    </w:p>
    <w:p w14:paraId="0000005A" w14:textId="77777777" w:rsidR="00892BBA" w:rsidRPr="00CC1AAA" w:rsidRDefault="00DA7CC1" w:rsidP="00302639">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threshold 2 is one thousand (1,000) Hours; and</w:t>
      </w:r>
    </w:p>
    <w:p w14:paraId="0000005B" w14:textId="77777777" w:rsidR="00892BBA" w:rsidRPr="00CC1AAA" w:rsidRDefault="00DA7CC1" w:rsidP="00302639">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threshold 3 is three thousand (3,000) Hours.</w:t>
      </w:r>
    </w:p>
    <w:p w14:paraId="0000005C" w14:textId="761A60A0"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Once a Supplier has submitted invoices to Buyers under each Call-Off Contract for Hours which exceed the relevant threshold (e.g. threshold 1 is 500 Hours) the relevant Volume Discount percentage will be automatically applied to the cost of Deliverables performed/provided from the 1st of the Month after the date and time the relevant threshold was met.  The Volume Discount percentage shall apply at that level to all subsequent Charges invoiced in respect of Deliverables performed/provided by the Supplier under the applicable Call-Off Contract</w:t>
      </w:r>
      <w:r w:rsidR="00C43ADA" w:rsidRPr="00CC1AAA">
        <w:rPr>
          <w:rFonts w:ascii="Arial" w:eastAsia="Arial" w:hAnsi="Arial" w:cs="Arial"/>
          <w:color w:val="000000"/>
          <w:sz w:val="24"/>
          <w:szCs w:val="24"/>
        </w:rPr>
        <w:t xml:space="preserve"> for the remainder of the Call-Off Contract Period</w:t>
      </w:r>
      <w:r w:rsidRPr="00CC1AAA">
        <w:rPr>
          <w:rFonts w:ascii="Arial" w:eastAsia="Arial" w:hAnsi="Arial" w:cs="Arial"/>
          <w:color w:val="000000"/>
          <w:sz w:val="24"/>
          <w:szCs w:val="24"/>
        </w:rPr>
        <w:t xml:space="preserve">, or until the next Volume Discount threshold is reached (e.g. threshold 2 of 1,000 Hours, or threshold 3 of 3,000 Hours, as applicable). </w:t>
      </w:r>
    </w:p>
    <w:p w14:paraId="0000005D"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 xml:space="preserve">The Volume Discounts against each threshold set out in Table 2 of Annex 2 of this Schedule apply at the stated rate as discrete stand-alone discounts to all invoiced Charges for Deliverables performed/provided under the relevant Call-Off Contract only.  </w:t>
      </w:r>
    </w:p>
    <w:p w14:paraId="0000005E"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Volume Discounts will be applied to the relevant Call-Off Contract:</w:t>
      </w:r>
    </w:p>
    <w:p w14:paraId="0000005F" w14:textId="2E16A935" w:rsidR="00892BBA" w:rsidRPr="00CC1AAA" w:rsidRDefault="00DA7CC1" w:rsidP="004F4344">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as a percentage deduction to all invoiced Charges, regardless of Supplier Staff grade band or Pricing Mechanism used; and</w:t>
      </w:r>
    </w:p>
    <w:p w14:paraId="00000060" w14:textId="6B6676D1" w:rsidR="00892BBA" w:rsidRPr="00CC1AAA" w:rsidRDefault="00DA7CC1" w:rsidP="004F4344">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to all invoiced Charges; and</w:t>
      </w:r>
    </w:p>
    <w:p w14:paraId="00000061" w14:textId="77777777" w:rsidR="00892BBA" w:rsidRPr="00CC1AAA" w:rsidRDefault="00DA7CC1" w:rsidP="004F4344">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to all invoiced Charges regardless of increases to Framework Prices or any component or sum thereto, in line with this Schedule.</w:t>
      </w:r>
    </w:p>
    <w:p w14:paraId="00000062"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Charges relating to Deliverables received by Buyers under a Call-Off Contract must be invoiced (and any applicable Volume Discount applied) in the Month in which they are performed, unless agreed or specified otherwise in the Order Form.  Any delay to the production and issuing of an invoice must not impinge the accurate application of any Volume Discounts relative to the applicable date(s) upon which Deliverables were performed/provided.</w:t>
      </w:r>
    </w:p>
    <w:p w14:paraId="00000063" w14:textId="45E8EC41"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The Supplier shall not make any reference to its Volume Discounts in any responses to a direct award or Further Competition Procedure undertaken in accordance with Framework Schedule 7 (Call-Off Award Procedure) regarding any Call-Off Contract.  Volume Discounts shall not be taken into consideration by Buyers in determining the award of a Call-Off Contract.</w:t>
      </w:r>
    </w:p>
    <w:p w14:paraId="00000064"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lastRenderedPageBreak/>
        <w:t>Where the Supplier uses a Fixed Price charging mechanism for any Call-Off Contracts under Lot 4, the Supplier shall be required to provide timesheets to verify the Hours which are invoiced in relation to the Fixed Price, in order to permit the calculation and check the application of the Volume Discount for Lot 4.</w:t>
      </w:r>
    </w:p>
    <w:p w14:paraId="00000065" w14:textId="544DAFF2" w:rsidR="00892BBA" w:rsidRPr="00CC1AAA" w:rsidRDefault="00CC1AAA" w:rsidP="00B17492">
      <w:pPr>
        <w:pStyle w:val="GPSL1CLAUSEHEADING"/>
        <w:rPr>
          <w:rFonts w:hint="eastAsia"/>
          <w:caps w:val="0"/>
          <w:sz w:val="24"/>
          <w:szCs w:val="24"/>
        </w:rPr>
      </w:pPr>
      <w:r>
        <w:rPr>
          <w:caps w:val="0"/>
          <w:sz w:val="24"/>
          <w:szCs w:val="24"/>
        </w:rPr>
        <w:t xml:space="preserve">  </w:t>
      </w:r>
      <w:r w:rsidR="00DA7CC1" w:rsidRPr="00CC1AAA">
        <w:rPr>
          <w:caps w:val="0"/>
          <w:sz w:val="24"/>
          <w:szCs w:val="24"/>
        </w:rPr>
        <w:t xml:space="preserve">Volume Discount Monitoring under all Lots </w:t>
      </w:r>
    </w:p>
    <w:p w14:paraId="00000066" w14:textId="4C64B27E"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The Supplier shall monitor all spend under this Framework Contract on a continual basis (using a common reference code in its billing and invoicing system or other means of easy identification) to ascertain when a Volume Discount threshold is met and to correctly apply the corresponding percentage of Volume Discount to all invoiced Charges from the 1st of the Month after the date and time the applicable Volume Discount takes effect.</w:t>
      </w:r>
    </w:p>
    <w:p w14:paraId="00000067" w14:textId="4363B819"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The Supplier shall promptly notify in writing:</w:t>
      </w:r>
    </w:p>
    <w:p w14:paraId="00000068" w14:textId="77777777" w:rsidR="00892BBA" w:rsidRPr="00CC1AAA" w:rsidRDefault="00DA7CC1" w:rsidP="004F4344">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CCS once any Volume Discount threshold is met; and</w:t>
      </w:r>
    </w:p>
    <w:p w14:paraId="00000069" w14:textId="77777777" w:rsidR="00892BBA" w:rsidRPr="00CC1AAA" w:rsidRDefault="00DA7CC1" w:rsidP="00D4598E">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b/>
          <w:color w:val="000000"/>
          <w:sz w:val="24"/>
          <w:szCs w:val="24"/>
        </w:rPr>
      </w:pPr>
      <w:r w:rsidRPr="00CC1AAA">
        <w:rPr>
          <w:rFonts w:ascii="Arial" w:eastAsia="Arial" w:hAnsi="Arial" w:cs="Arial"/>
          <w:color w:val="000000"/>
          <w:sz w:val="24"/>
          <w:szCs w:val="24"/>
        </w:rPr>
        <w:t>all Buyers with whom it has an ongoing Call-Off Contract which is subject to the relevant Volume Discount of the date and time the applicable Volume Discount threshold is met and the fact that the applicable Volume Discount shall be applied from the 1st of the Month following on and from that date and time.</w:t>
      </w:r>
    </w:p>
    <w:p w14:paraId="0000006A" w14:textId="77777777" w:rsidR="00892BBA" w:rsidRPr="00CC1AAA" w:rsidRDefault="00DA7CC1" w:rsidP="00302639">
      <w:pPr>
        <w:numPr>
          <w:ilvl w:val="1"/>
          <w:numId w:val="1"/>
        </w:numPr>
        <w:pBdr>
          <w:top w:val="nil"/>
          <w:left w:val="nil"/>
          <w:bottom w:val="nil"/>
          <w:right w:val="nil"/>
          <w:between w:val="nil"/>
        </w:pBdr>
        <w:tabs>
          <w:tab w:val="left" w:pos="1134"/>
        </w:tabs>
        <w:spacing w:before="120" w:after="120" w:line="240" w:lineRule="auto"/>
        <w:ind w:hanging="359"/>
        <w:jc w:val="both"/>
        <w:rPr>
          <w:rFonts w:ascii="Arial" w:eastAsia="Arial" w:hAnsi="Arial" w:cs="Arial"/>
          <w:color w:val="000000"/>
          <w:sz w:val="24"/>
          <w:szCs w:val="24"/>
        </w:rPr>
      </w:pPr>
      <w:r w:rsidRPr="00CC1AAA">
        <w:rPr>
          <w:rFonts w:ascii="Arial" w:eastAsia="Arial" w:hAnsi="Arial" w:cs="Arial"/>
          <w:color w:val="000000"/>
          <w:sz w:val="24"/>
          <w:szCs w:val="24"/>
        </w:rPr>
        <w:t>If the Supplier fails to implement the correct Volume Discount it shall:</w:t>
      </w:r>
    </w:p>
    <w:p w14:paraId="0000006B" w14:textId="77777777" w:rsidR="00892BBA" w:rsidRPr="00CC1AAA" w:rsidRDefault="00DA7CC1" w:rsidP="00D4598E">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promptly issue a credit note to relevant Buyers for the amount due; or</w:t>
      </w:r>
    </w:p>
    <w:p w14:paraId="0000006C" w14:textId="77777777" w:rsidR="00892BBA" w:rsidRPr="00CC1AAA" w:rsidRDefault="00DA7CC1" w:rsidP="00D4598E">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rPr>
      </w:pPr>
      <w:r w:rsidRPr="00CC1AAA">
        <w:rPr>
          <w:rFonts w:ascii="Arial" w:eastAsia="Arial" w:hAnsi="Arial" w:cs="Arial"/>
          <w:color w:val="000000"/>
          <w:sz w:val="24"/>
          <w:szCs w:val="24"/>
        </w:rPr>
        <w:t>where there is an ongoing Call-Off Contract which is subject to the relevant Volume Discount, automatically reduce the next invoice to that Buyer to take into account and correct this discrepancy and correctly identify it as such within the Buyer’s invoice.</w:t>
      </w:r>
    </w:p>
    <w:p w14:paraId="0000006D" w14:textId="77777777" w:rsidR="00892BBA" w:rsidRPr="00CC1AAA" w:rsidRDefault="00DA7CC1" w:rsidP="00B17492">
      <w:pPr>
        <w:pStyle w:val="GPSL2numberedclause"/>
        <w:rPr>
          <w:rFonts w:ascii="Arial" w:eastAsia="Arial" w:hAnsi="Arial"/>
          <w:color w:val="000000"/>
          <w:sz w:val="24"/>
          <w:szCs w:val="24"/>
        </w:rPr>
      </w:pPr>
      <w:r w:rsidRPr="00CC1AAA">
        <w:rPr>
          <w:rFonts w:ascii="Arial" w:eastAsia="Arial" w:hAnsi="Arial"/>
          <w:color w:val="000000"/>
          <w:sz w:val="24"/>
          <w:szCs w:val="24"/>
        </w:rPr>
        <w:t xml:space="preserve">The Supplier shall provide all reasonable information and co-operation which CCS and/or the Buyer may request regarding the application of Volume Discounts by the Supplier (including as Management Information and within required MI Reports) in order to support CCS and the Buyer in monitoring and assuring the timely and accurate application of Volume Discounts by the Supplier. </w:t>
      </w:r>
    </w:p>
    <w:p w14:paraId="0000006E" w14:textId="348C5AB2" w:rsidR="00892BBA" w:rsidRPr="00CC1AAA" w:rsidRDefault="00CC1AAA" w:rsidP="00B17492">
      <w:pPr>
        <w:pStyle w:val="GPSL1CLAUSEHEADING"/>
        <w:rPr>
          <w:rFonts w:eastAsia="Arial"/>
          <w:b w:val="0"/>
          <w:caps w:val="0"/>
          <w:color w:val="000000"/>
          <w:sz w:val="24"/>
          <w:szCs w:val="24"/>
        </w:rPr>
      </w:pPr>
      <w:bookmarkStart w:id="16" w:name="_heading=h.3j2qqm3" w:colFirst="0" w:colLast="0"/>
      <w:bookmarkEnd w:id="16"/>
      <w:r>
        <w:rPr>
          <w:rFonts w:eastAsia="Arial"/>
          <w:caps w:val="0"/>
          <w:color w:val="000000"/>
          <w:sz w:val="24"/>
          <w:szCs w:val="24"/>
        </w:rPr>
        <w:t xml:space="preserve">  </w:t>
      </w:r>
      <w:r w:rsidR="00DA7CC1" w:rsidRPr="00CC1AAA">
        <w:rPr>
          <w:rFonts w:eastAsia="Arial"/>
          <w:caps w:val="0"/>
          <w:color w:val="000000"/>
          <w:sz w:val="24"/>
          <w:szCs w:val="24"/>
        </w:rPr>
        <w:t>Indexation of pricing in response to foreign exchange rates for lot 4 only</w:t>
      </w:r>
    </w:p>
    <w:p w14:paraId="0000006F" w14:textId="77777777" w:rsidR="00892BBA" w:rsidRPr="00CC1AAA" w:rsidRDefault="00DA7CC1">
      <w:pPr>
        <w:jc w:val="both"/>
        <w:rPr>
          <w:rFonts w:ascii="Arial" w:eastAsia="Arial" w:hAnsi="Arial" w:cs="Arial"/>
          <w:sz w:val="24"/>
          <w:szCs w:val="24"/>
        </w:rPr>
      </w:pPr>
      <w:bookmarkStart w:id="17" w:name="_heading=h.1y810tw" w:colFirst="0" w:colLast="0"/>
      <w:bookmarkEnd w:id="17"/>
      <w:r w:rsidRPr="00CC1AAA">
        <w:rPr>
          <w:rFonts w:ascii="Arial" w:eastAsia="Arial" w:hAnsi="Arial" w:cs="Arial"/>
          <w:sz w:val="24"/>
          <w:szCs w:val="24"/>
        </w:rPr>
        <w:t>The following definitions are relevant to this Paragraph 10 and are supplemental to those set out in Joint Schedule 1 (Definitions):</w:t>
      </w:r>
    </w:p>
    <w:p w14:paraId="00000070" w14:textId="77777777" w:rsidR="00892BBA" w:rsidRPr="00CC1AAA" w:rsidRDefault="00DA7CC1">
      <w:pPr>
        <w:ind w:left="2835" w:hanging="2835"/>
        <w:jc w:val="both"/>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b/>
          <w:sz w:val="24"/>
          <w:szCs w:val="24"/>
        </w:rPr>
        <w:t>Current Lot 4 Prices</w:t>
      </w:r>
      <w:r w:rsidRPr="00CC1AAA">
        <w:rPr>
          <w:rFonts w:ascii="Arial" w:eastAsia="Arial" w:hAnsi="Arial" w:cs="Arial"/>
          <w:sz w:val="24"/>
          <w:szCs w:val="24"/>
        </w:rPr>
        <w:t>”</w:t>
      </w:r>
      <w:r w:rsidRPr="00CC1AAA">
        <w:rPr>
          <w:rFonts w:ascii="Arial" w:eastAsia="Arial" w:hAnsi="Arial" w:cs="Arial"/>
          <w:sz w:val="24"/>
          <w:szCs w:val="24"/>
        </w:rPr>
        <w:tab/>
        <w:t xml:space="preserve">the Framework Prices for Lot 4 </w:t>
      </w:r>
      <w:r w:rsidRPr="00CC1AAA">
        <w:rPr>
          <w:rFonts w:ascii="Arial" w:eastAsia="Arial" w:hAnsi="Arial" w:cs="Arial"/>
          <w:color w:val="000000"/>
          <w:sz w:val="24"/>
          <w:szCs w:val="24"/>
        </w:rPr>
        <w:t xml:space="preserve">which apply immediately prior to </w:t>
      </w:r>
      <w:r w:rsidRPr="00CC1AAA">
        <w:rPr>
          <w:rFonts w:ascii="Arial" w:eastAsia="Arial" w:hAnsi="Arial" w:cs="Arial"/>
          <w:sz w:val="24"/>
          <w:szCs w:val="24"/>
        </w:rPr>
        <w:t>the relevant Forex Change Date, discounting any increases made at any time pursuant to the Forex Tracker;</w:t>
      </w:r>
    </w:p>
    <w:p w14:paraId="00000071" w14:textId="77777777" w:rsidR="00892BBA" w:rsidRPr="00CC1AAA" w:rsidRDefault="00DA7CC1">
      <w:pPr>
        <w:ind w:left="2835" w:hanging="2835"/>
        <w:jc w:val="both"/>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b/>
          <w:sz w:val="24"/>
          <w:szCs w:val="24"/>
        </w:rPr>
        <w:t>Forex Change Date</w:t>
      </w:r>
      <w:r w:rsidRPr="00CC1AAA">
        <w:rPr>
          <w:rFonts w:ascii="Arial" w:eastAsia="Arial" w:hAnsi="Arial" w:cs="Arial"/>
          <w:sz w:val="24"/>
          <w:szCs w:val="24"/>
        </w:rPr>
        <w:t>”</w:t>
      </w:r>
      <w:r w:rsidRPr="00CC1AAA">
        <w:rPr>
          <w:rFonts w:ascii="Arial" w:eastAsia="Arial" w:hAnsi="Arial" w:cs="Arial"/>
          <w:sz w:val="24"/>
          <w:szCs w:val="24"/>
        </w:rPr>
        <w:tab/>
        <w:t xml:space="preserve">the first and second anniversaries of the Framework Start Date, plus the third anniversary of the Framework Start </w:t>
      </w:r>
      <w:r w:rsidRPr="00CC1AAA">
        <w:rPr>
          <w:rFonts w:ascii="Arial" w:eastAsia="Arial" w:hAnsi="Arial" w:cs="Arial"/>
          <w:sz w:val="24"/>
          <w:szCs w:val="24"/>
        </w:rPr>
        <w:lastRenderedPageBreak/>
        <w:t>Date if the Framework Contract is extended pursuant to Clause 10.1.2;</w:t>
      </w:r>
    </w:p>
    <w:p w14:paraId="00000072" w14:textId="77777777" w:rsidR="00892BBA" w:rsidRPr="00CC1AAA" w:rsidRDefault="00DA7CC1">
      <w:pPr>
        <w:ind w:left="2835" w:hanging="2835"/>
        <w:jc w:val="both"/>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b/>
          <w:sz w:val="24"/>
          <w:szCs w:val="24"/>
        </w:rPr>
        <w:t>Forex Review Date</w:t>
      </w:r>
      <w:r w:rsidRPr="00CC1AAA">
        <w:rPr>
          <w:rFonts w:ascii="Arial" w:eastAsia="Arial" w:hAnsi="Arial" w:cs="Arial"/>
          <w:sz w:val="24"/>
          <w:szCs w:val="24"/>
        </w:rPr>
        <w:t>”</w:t>
      </w:r>
      <w:r w:rsidRPr="00CC1AAA">
        <w:rPr>
          <w:rFonts w:ascii="Arial" w:eastAsia="Arial" w:hAnsi="Arial" w:cs="Arial"/>
          <w:sz w:val="24"/>
          <w:szCs w:val="24"/>
        </w:rPr>
        <w:tab/>
        <w:t>the first Working Day which falls thirty (30) days prior to each Forex Change Date;</w:t>
      </w:r>
    </w:p>
    <w:p w14:paraId="00000073" w14:textId="77777777" w:rsidR="00892BBA" w:rsidRPr="00CC1AAA" w:rsidRDefault="00DA7CC1">
      <w:pPr>
        <w:ind w:left="2835" w:hanging="2835"/>
        <w:jc w:val="both"/>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b/>
          <w:sz w:val="24"/>
          <w:szCs w:val="24"/>
        </w:rPr>
        <w:t>Forex Review Period</w:t>
      </w:r>
      <w:r w:rsidRPr="00CC1AAA">
        <w:rPr>
          <w:rFonts w:ascii="Arial" w:eastAsia="Arial" w:hAnsi="Arial" w:cs="Arial"/>
          <w:sz w:val="24"/>
          <w:szCs w:val="24"/>
        </w:rPr>
        <w:t>”</w:t>
      </w:r>
      <w:r w:rsidRPr="00CC1AAA">
        <w:rPr>
          <w:rFonts w:ascii="Arial" w:eastAsia="Arial" w:hAnsi="Arial" w:cs="Arial"/>
          <w:sz w:val="24"/>
          <w:szCs w:val="24"/>
        </w:rPr>
        <w:tab/>
        <w:t>means the twelve (12) month period preceding each Forex Review Date; and</w:t>
      </w:r>
    </w:p>
    <w:p w14:paraId="00000074" w14:textId="77777777" w:rsidR="00892BBA" w:rsidRPr="00CC1AAA" w:rsidRDefault="00DA7CC1">
      <w:pPr>
        <w:ind w:left="2835" w:hanging="2835"/>
        <w:jc w:val="both"/>
        <w:rPr>
          <w:rFonts w:ascii="Arial" w:eastAsia="Arial" w:hAnsi="Arial" w:cs="Arial"/>
          <w:color w:val="000000"/>
          <w:sz w:val="24"/>
          <w:szCs w:val="24"/>
          <w:highlight w:val="white"/>
          <w:lang w:eastAsia="zh-CN"/>
        </w:rPr>
      </w:pPr>
      <w:r w:rsidRPr="00CC1AAA">
        <w:rPr>
          <w:rFonts w:ascii="Arial" w:eastAsia="Arial" w:hAnsi="Arial" w:cs="Arial"/>
          <w:sz w:val="24"/>
          <w:szCs w:val="24"/>
        </w:rPr>
        <w:t>“</w:t>
      </w:r>
      <w:r w:rsidRPr="00CC1AAA">
        <w:rPr>
          <w:rFonts w:ascii="Arial" w:eastAsia="Arial" w:hAnsi="Arial" w:cs="Arial"/>
          <w:b/>
          <w:sz w:val="24"/>
          <w:szCs w:val="24"/>
        </w:rPr>
        <w:t>Forex Tracker</w:t>
      </w:r>
      <w:r w:rsidRPr="00CC1AAA">
        <w:rPr>
          <w:rFonts w:ascii="Arial" w:eastAsia="Arial" w:hAnsi="Arial" w:cs="Arial"/>
          <w:sz w:val="24"/>
          <w:szCs w:val="24"/>
        </w:rPr>
        <w:t>”</w:t>
      </w:r>
      <w:r w:rsidRPr="00CC1AAA">
        <w:rPr>
          <w:rFonts w:ascii="Arial" w:eastAsia="Arial" w:hAnsi="Arial" w:cs="Arial"/>
          <w:sz w:val="24"/>
          <w:szCs w:val="24"/>
        </w:rPr>
        <w:tab/>
        <w:t xml:space="preserve">the mechanism for the indexation of the Framework Prices in response to movements in foreign exchange rates, as set out in </w:t>
      </w:r>
      <w:r w:rsidRPr="00CC1AAA">
        <w:rPr>
          <w:rFonts w:ascii="Arial" w:eastAsia="Arial" w:hAnsi="Arial" w:cs="Arial"/>
          <w:color w:val="000000"/>
          <w:sz w:val="24"/>
          <w:szCs w:val="24"/>
          <w:highlight w:val="white"/>
          <w:lang w:eastAsia="zh-CN"/>
        </w:rPr>
        <w:t>this Paragraph 10.</w:t>
      </w:r>
    </w:p>
    <w:p w14:paraId="00000075" w14:textId="77777777" w:rsidR="00892BBA" w:rsidRPr="00CC1AAA" w:rsidRDefault="00DA7CC1" w:rsidP="00B17492">
      <w:pPr>
        <w:pStyle w:val="GPSL2numberedclause"/>
        <w:rPr>
          <w:rFonts w:ascii="Arial" w:eastAsia="Arial" w:hAnsi="Arial"/>
          <w:b/>
          <w:color w:val="000000"/>
          <w:sz w:val="24"/>
          <w:szCs w:val="24"/>
        </w:rPr>
      </w:pPr>
      <w:bookmarkStart w:id="18" w:name="_heading=h.4i7ojhp" w:colFirst="0" w:colLast="0"/>
      <w:bookmarkEnd w:id="18"/>
      <w:r w:rsidRPr="00CC1AAA">
        <w:rPr>
          <w:rFonts w:ascii="Arial" w:eastAsia="Arial" w:hAnsi="Arial"/>
          <w:color w:val="000000"/>
          <w:sz w:val="24"/>
          <w:szCs w:val="24"/>
          <w:highlight w:val="white"/>
        </w:rPr>
        <w:t xml:space="preserve">Framework Prices and all payments for Services delivered under this Framework will be in Pounds Sterling (GBP) only. </w:t>
      </w:r>
      <w:r w:rsidRPr="00CC1AAA">
        <w:rPr>
          <w:rFonts w:ascii="Arial" w:eastAsia="Arial" w:hAnsi="Arial"/>
          <w:color w:val="000000"/>
          <w:sz w:val="24"/>
          <w:szCs w:val="24"/>
        </w:rPr>
        <w:t xml:space="preserve">     </w:t>
      </w:r>
    </w:p>
    <w:p w14:paraId="00000076" w14:textId="77777777" w:rsidR="00892BBA" w:rsidRPr="00CC1AAA" w:rsidRDefault="00DA7CC1" w:rsidP="00B17492">
      <w:pPr>
        <w:pStyle w:val="GPSL2numberedclause"/>
        <w:rPr>
          <w:rFonts w:ascii="Arial" w:eastAsia="Arial" w:hAnsi="Arial"/>
          <w:b/>
          <w:color w:val="000000"/>
          <w:sz w:val="24"/>
          <w:szCs w:val="24"/>
        </w:rPr>
      </w:pPr>
      <w:r w:rsidRPr="00CC1AAA">
        <w:rPr>
          <w:rFonts w:ascii="Arial" w:eastAsia="Arial" w:hAnsi="Arial"/>
          <w:color w:val="000000"/>
          <w:sz w:val="24"/>
          <w:szCs w:val="24"/>
          <w:highlight w:val="white"/>
        </w:rPr>
        <w:t xml:space="preserve">Notwithstanding Paragraph 10.1, given the international nature of Services provided under Lot 4 of the Framework Contract, the Authority will permit tiered increases to Framework Prices (on Lot 4 only) based on currency fluctuations which impact US Dollars (USD) or Euros (EUR) against Pounds Sterling (GBP), in accordance with the Forex Tracker in Paragraph 10.3.  </w:t>
      </w:r>
    </w:p>
    <w:p w14:paraId="00000077" w14:textId="77777777" w:rsidR="00892BBA" w:rsidRPr="00CC1AAA" w:rsidRDefault="00DA7CC1" w:rsidP="00B17492">
      <w:pPr>
        <w:pStyle w:val="GPSL2numberedclause"/>
        <w:rPr>
          <w:rFonts w:ascii="Arial" w:eastAsia="Arial" w:hAnsi="Arial"/>
          <w:color w:val="000000"/>
          <w:sz w:val="24"/>
          <w:szCs w:val="24"/>
          <w:highlight w:val="white"/>
        </w:rPr>
      </w:pPr>
      <w:bookmarkStart w:id="19" w:name="_heading=h.2xcytpi" w:colFirst="0" w:colLast="0"/>
      <w:bookmarkEnd w:id="19"/>
      <w:r w:rsidRPr="00CC1AAA">
        <w:rPr>
          <w:rFonts w:ascii="Arial" w:eastAsia="Arial" w:hAnsi="Arial"/>
          <w:color w:val="000000"/>
          <w:sz w:val="24"/>
          <w:szCs w:val="24"/>
          <w:highlight w:val="white"/>
        </w:rPr>
        <w:t>If over the course of a Forex Review Period the average forex rate for the selected currency against GBP is:</w:t>
      </w:r>
    </w:p>
    <w:p w14:paraId="00000078" w14:textId="77777777" w:rsidR="00892BBA" w:rsidRPr="00CC1AAA" w:rsidRDefault="00DA7CC1" w:rsidP="00D4598E">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highlight w:val="white"/>
        </w:rPr>
      </w:pPr>
      <w:r w:rsidRPr="00CC1AAA">
        <w:rPr>
          <w:rFonts w:ascii="Arial" w:eastAsia="Arial" w:hAnsi="Arial" w:cs="Arial"/>
          <w:color w:val="000000"/>
          <w:sz w:val="24"/>
          <w:szCs w:val="24"/>
          <w:highlight w:val="white"/>
        </w:rPr>
        <w:t>less than 3% higher than the forex rate at the Framework Start Date, the Current Lot 4 Prices shall not be increased;</w:t>
      </w:r>
    </w:p>
    <w:p w14:paraId="00000079" w14:textId="77777777" w:rsidR="00892BBA" w:rsidRPr="00CC1AAA" w:rsidRDefault="00DA7CC1" w:rsidP="00D4598E">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highlight w:val="white"/>
        </w:rPr>
      </w:pPr>
      <w:r w:rsidRPr="00CC1AAA">
        <w:rPr>
          <w:rFonts w:ascii="Arial" w:eastAsia="Arial" w:hAnsi="Arial" w:cs="Arial"/>
          <w:color w:val="000000"/>
          <w:sz w:val="24"/>
          <w:szCs w:val="24"/>
          <w:highlight w:val="white"/>
        </w:rPr>
        <w:t xml:space="preserve">at least 3% (but less than 5%) higher than the forex rate at the Framework Start Date, the Current Lot 4 Prices shall be increased by 3%; </w:t>
      </w:r>
    </w:p>
    <w:p w14:paraId="0000007A" w14:textId="77777777" w:rsidR="00892BBA" w:rsidRPr="00CC1AAA" w:rsidRDefault="00DA7CC1" w:rsidP="00D4598E">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highlight w:val="white"/>
        </w:rPr>
      </w:pPr>
      <w:r w:rsidRPr="00CC1AAA">
        <w:rPr>
          <w:rFonts w:ascii="Arial" w:eastAsia="Arial" w:hAnsi="Arial" w:cs="Arial"/>
          <w:color w:val="000000"/>
          <w:sz w:val="24"/>
          <w:szCs w:val="24"/>
          <w:highlight w:val="white"/>
        </w:rPr>
        <w:t>at least 5% (but less than 10%) higher than the forex rate at the Framework Start Date, the Current Lot 4 Prices shall be increased by 5%; and</w:t>
      </w:r>
    </w:p>
    <w:p w14:paraId="0000007B" w14:textId="77777777" w:rsidR="00892BBA" w:rsidRPr="00CC1AAA" w:rsidRDefault="00DA7CC1" w:rsidP="00D4598E">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highlight w:val="white"/>
        </w:rPr>
      </w:pPr>
      <w:r w:rsidRPr="00CC1AAA">
        <w:rPr>
          <w:rFonts w:ascii="Arial" w:eastAsia="Arial" w:hAnsi="Arial" w:cs="Arial"/>
          <w:color w:val="000000"/>
          <w:sz w:val="24"/>
          <w:szCs w:val="24"/>
          <w:highlight w:val="white"/>
        </w:rPr>
        <w:t>at least 10% higher than the forex rate at the Framework Start Date, the Current Lot 4 Prices shall be increased by 10%;</w:t>
      </w:r>
    </w:p>
    <w:p w14:paraId="0000007C" w14:textId="331BFF74" w:rsidR="00892BBA" w:rsidRPr="00CC1AAA" w:rsidRDefault="00DA7CC1" w:rsidP="00CC1AAA">
      <w:pPr>
        <w:pBdr>
          <w:top w:val="nil"/>
          <w:left w:val="nil"/>
          <w:bottom w:val="nil"/>
          <w:right w:val="nil"/>
          <w:between w:val="nil"/>
        </w:pBdr>
        <w:tabs>
          <w:tab w:val="left" w:pos="1985"/>
          <w:tab w:val="left" w:pos="2127"/>
        </w:tabs>
        <w:spacing w:before="120" w:after="120" w:line="240" w:lineRule="auto"/>
        <w:ind w:left="567"/>
        <w:jc w:val="both"/>
        <w:rPr>
          <w:rFonts w:ascii="Arial" w:eastAsia="Arial" w:hAnsi="Arial" w:cs="Arial"/>
          <w:color w:val="000000"/>
          <w:sz w:val="24"/>
          <w:szCs w:val="24"/>
          <w:highlight w:val="white"/>
        </w:rPr>
      </w:pPr>
      <w:r w:rsidRPr="00CC1AAA">
        <w:rPr>
          <w:rFonts w:ascii="Arial" w:eastAsia="Arial" w:hAnsi="Arial" w:cs="Arial"/>
          <w:color w:val="000000"/>
          <w:sz w:val="24"/>
          <w:szCs w:val="24"/>
          <w:highlight w:val="white"/>
        </w:rPr>
        <w:t>and in each case such increases shall be applied from the relevant Forex Change Date, and</w:t>
      </w:r>
      <w:r w:rsidR="00D4598E" w:rsidRPr="00CC1AAA">
        <w:rPr>
          <w:rFonts w:ascii="Arial" w:eastAsia="Arial" w:hAnsi="Arial" w:cs="Arial"/>
          <w:color w:val="000000"/>
          <w:sz w:val="24"/>
          <w:szCs w:val="24"/>
          <w:highlight w:val="white"/>
        </w:rPr>
        <w:t xml:space="preserve"> </w:t>
      </w:r>
      <w:r w:rsidRPr="00CC1AAA">
        <w:rPr>
          <w:rFonts w:ascii="Arial" w:eastAsia="Arial" w:hAnsi="Arial" w:cs="Arial"/>
          <w:color w:val="000000"/>
          <w:sz w:val="24"/>
          <w:szCs w:val="24"/>
          <w:highlight w:val="white"/>
        </w:rPr>
        <w:t xml:space="preserve">shall remain in force until the next Forex Change Date. </w:t>
      </w:r>
    </w:p>
    <w:p w14:paraId="0000007D" w14:textId="77777777" w:rsidR="00892BBA" w:rsidRPr="00CC1AAA" w:rsidRDefault="00DA7CC1" w:rsidP="00CC1AAA">
      <w:pPr>
        <w:pStyle w:val="GPSL2numberedclause"/>
        <w:ind w:left="567" w:hanging="281"/>
        <w:rPr>
          <w:rFonts w:ascii="Arial" w:eastAsia="Arial" w:hAnsi="Arial"/>
          <w:color w:val="000000"/>
          <w:sz w:val="24"/>
          <w:szCs w:val="24"/>
          <w:highlight w:val="white"/>
        </w:rPr>
      </w:pPr>
      <w:bookmarkStart w:id="20" w:name="_heading=h.1ci93xb" w:colFirst="0" w:colLast="0"/>
      <w:bookmarkEnd w:id="20"/>
      <w:r w:rsidRPr="00CC1AAA">
        <w:rPr>
          <w:rFonts w:ascii="Arial" w:eastAsia="Arial" w:hAnsi="Arial"/>
          <w:color w:val="000000"/>
          <w:sz w:val="24"/>
          <w:szCs w:val="24"/>
          <w:highlight w:val="white"/>
        </w:rPr>
        <w:t>The maximum rate increase will be 10%, excepting extreme events, to which the following provisions apply:​</w:t>
      </w:r>
    </w:p>
    <w:p w14:paraId="0000007E" w14:textId="77777777" w:rsidR="00892BBA" w:rsidRPr="00CC1AAA" w:rsidRDefault="00DA7CC1" w:rsidP="00D4598E">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highlight w:val="white"/>
        </w:rPr>
      </w:pPr>
      <w:r w:rsidRPr="00CC1AAA">
        <w:rPr>
          <w:rFonts w:ascii="Arial" w:eastAsia="Arial" w:hAnsi="Arial" w:cs="Arial"/>
          <w:color w:val="000000"/>
          <w:sz w:val="24"/>
          <w:szCs w:val="24"/>
          <w:highlight w:val="white"/>
        </w:rPr>
        <w:t xml:space="preserve">An extreme events scenario shall be defined as an extreme currency fluctuation where USD or EUR increase 15% or more against GBP over a consecutive period of at least 3 months. </w:t>
      </w:r>
    </w:p>
    <w:p w14:paraId="0000007F" w14:textId="77777777" w:rsidR="00892BBA" w:rsidRPr="00CC1AAA" w:rsidRDefault="00DA7CC1" w:rsidP="00D4598E">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highlight w:val="white"/>
        </w:rPr>
      </w:pPr>
      <w:r w:rsidRPr="00CC1AAA">
        <w:rPr>
          <w:rFonts w:ascii="Arial" w:eastAsia="Arial" w:hAnsi="Arial" w:cs="Arial"/>
          <w:color w:val="000000"/>
          <w:sz w:val="24"/>
          <w:szCs w:val="24"/>
          <w:highlight w:val="white"/>
        </w:rPr>
        <w:t xml:space="preserve">Framework Prices shall not automatically increase in the event of an extreme events scenario but the Supplier can apply for a temporary increase in Framework Prices providing it is are able to demonstrate sufficient justification in writing.​ The extreme events increase, if </w:t>
      </w:r>
      <w:r w:rsidRPr="00CC1AAA">
        <w:rPr>
          <w:rFonts w:ascii="Arial" w:eastAsia="Arial" w:hAnsi="Arial" w:cs="Arial"/>
          <w:color w:val="000000"/>
          <w:sz w:val="24"/>
          <w:szCs w:val="24"/>
          <w:highlight w:val="white"/>
        </w:rPr>
        <w:lastRenderedPageBreak/>
        <w:t>granted, would be time-limited and at a level and for a period specified by the Authority, whose determination shall be final.</w:t>
      </w:r>
    </w:p>
    <w:p w14:paraId="00000080" w14:textId="77777777" w:rsidR="00892BBA" w:rsidRPr="00CC1AAA" w:rsidRDefault="00DA7CC1" w:rsidP="00D4598E">
      <w:pPr>
        <w:numPr>
          <w:ilvl w:val="2"/>
          <w:numId w:val="1"/>
        </w:numPr>
        <w:pBdr>
          <w:top w:val="nil"/>
          <w:left w:val="nil"/>
          <w:bottom w:val="nil"/>
          <w:right w:val="nil"/>
          <w:between w:val="nil"/>
        </w:pBdr>
        <w:tabs>
          <w:tab w:val="left" w:pos="1985"/>
          <w:tab w:val="left" w:pos="2127"/>
        </w:tabs>
        <w:spacing w:before="120" w:after="120" w:line="240" w:lineRule="auto"/>
        <w:ind w:left="1560" w:hanging="284"/>
        <w:jc w:val="both"/>
        <w:rPr>
          <w:rFonts w:ascii="Arial" w:eastAsia="Arial" w:hAnsi="Arial" w:cs="Arial"/>
          <w:color w:val="000000"/>
          <w:sz w:val="24"/>
          <w:szCs w:val="24"/>
          <w:highlight w:val="white"/>
        </w:rPr>
      </w:pPr>
      <w:r w:rsidRPr="00CC1AAA">
        <w:rPr>
          <w:rFonts w:ascii="Arial" w:eastAsia="Arial" w:hAnsi="Arial" w:cs="Arial"/>
          <w:color w:val="000000"/>
          <w:sz w:val="24"/>
          <w:szCs w:val="24"/>
          <w:highlight w:val="white"/>
        </w:rPr>
        <w:t>The kinds of information, factors and representations to be provided by the Supplier when applying for a Framework Price increase based on one or more extreme events includes:</w:t>
      </w:r>
    </w:p>
    <w:p w14:paraId="00000081" w14:textId="77777777" w:rsidR="00892BBA" w:rsidRPr="00CC1AAA" w:rsidRDefault="00DA7CC1" w:rsidP="00B17492">
      <w:pPr>
        <w:pStyle w:val="GPSL4numberedclause"/>
        <w:rPr>
          <w:rFonts w:ascii="Arial" w:eastAsia="Arial" w:hAnsi="Arial"/>
          <w:color w:val="000000"/>
          <w:sz w:val="24"/>
          <w:szCs w:val="24"/>
          <w:highlight w:val="white"/>
        </w:rPr>
      </w:pPr>
      <w:r w:rsidRPr="00CC1AAA">
        <w:rPr>
          <w:rFonts w:ascii="Arial" w:eastAsia="Arial" w:hAnsi="Arial"/>
          <w:color w:val="000000"/>
          <w:sz w:val="24"/>
          <w:szCs w:val="24"/>
          <w:highlight w:val="white"/>
        </w:rPr>
        <w:t xml:space="preserve">a breakdown of the profit and cost components that comprise the relevant Framework Price; </w:t>
      </w:r>
    </w:p>
    <w:p w14:paraId="00000082" w14:textId="77777777" w:rsidR="00892BBA" w:rsidRPr="00CC1AAA" w:rsidRDefault="00DA7CC1" w:rsidP="00B17492">
      <w:pPr>
        <w:pStyle w:val="GPSL4numberedclause"/>
        <w:rPr>
          <w:rFonts w:ascii="Arial" w:eastAsia="Arial" w:hAnsi="Arial"/>
          <w:color w:val="000000"/>
          <w:sz w:val="24"/>
          <w:szCs w:val="24"/>
          <w:highlight w:val="white"/>
        </w:rPr>
      </w:pPr>
      <w:r w:rsidRPr="00CC1AAA">
        <w:rPr>
          <w:rFonts w:ascii="Arial" w:eastAsia="Arial" w:hAnsi="Arial"/>
          <w:color w:val="000000"/>
          <w:sz w:val="24"/>
          <w:szCs w:val="24"/>
          <w:highlight w:val="white"/>
        </w:rPr>
        <w:t>details of the movement in the different identified cost components of the relevant Framework Price;</w:t>
      </w:r>
    </w:p>
    <w:p w14:paraId="00000083" w14:textId="77777777" w:rsidR="00892BBA" w:rsidRPr="00CC1AAA" w:rsidRDefault="00DA7CC1" w:rsidP="00B17492">
      <w:pPr>
        <w:pStyle w:val="GPSL4numberedclause"/>
        <w:rPr>
          <w:rFonts w:ascii="Arial" w:eastAsia="Arial" w:hAnsi="Arial"/>
          <w:color w:val="000000"/>
          <w:sz w:val="24"/>
          <w:szCs w:val="24"/>
          <w:highlight w:val="white"/>
        </w:rPr>
      </w:pPr>
      <w:r w:rsidRPr="00CC1AAA">
        <w:rPr>
          <w:rFonts w:ascii="Arial" w:eastAsia="Arial" w:hAnsi="Arial"/>
          <w:color w:val="000000"/>
          <w:sz w:val="24"/>
          <w:szCs w:val="24"/>
          <w:highlight w:val="white"/>
        </w:rPr>
        <w:t>reasons for the movement in the different identified cost components of the relevant Framework Price;</w:t>
      </w:r>
    </w:p>
    <w:p w14:paraId="00000084" w14:textId="77777777" w:rsidR="00892BBA" w:rsidRPr="00CC1AAA" w:rsidRDefault="00DA7CC1" w:rsidP="00B17492">
      <w:pPr>
        <w:pStyle w:val="GPSL4numberedclause"/>
        <w:rPr>
          <w:rFonts w:ascii="Arial" w:eastAsia="Arial" w:hAnsi="Arial"/>
          <w:color w:val="000000"/>
          <w:sz w:val="24"/>
          <w:szCs w:val="24"/>
          <w:highlight w:val="white"/>
        </w:rPr>
      </w:pPr>
      <w:r w:rsidRPr="00CC1AAA">
        <w:rPr>
          <w:rFonts w:ascii="Arial" w:eastAsia="Arial" w:hAnsi="Arial"/>
          <w:color w:val="000000"/>
          <w:sz w:val="24"/>
          <w:szCs w:val="24"/>
          <w:highlight w:val="white"/>
        </w:rPr>
        <w:t>evidence that the Supplier has attempted to mitigate against the increase in the relevant cost components.</w:t>
      </w:r>
    </w:p>
    <w:p w14:paraId="00000085" w14:textId="77777777" w:rsidR="00892BBA" w:rsidRPr="00CC1AAA" w:rsidRDefault="00DA7CC1" w:rsidP="00CC1AAA">
      <w:pPr>
        <w:pStyle w:val="GPSL2numberedclause"/>
        <w:ind w:left="567" w:hanging="281"/>
        <w:rPr>
          <w:rFonts w:ascii="Arial" w:eastAsia="Arial" w:hAnsi="Arial"/>
          <w:color w:val="000000"/>
          <w:sz w:val="24"/>
          <w:szCs w:val="24"/>
          <w:highlight w:val="white"/>
        </w:rPr>
      </w:pPr>
      <w:r w:rsidRPr="00CC1AAA">
        <w:rPr>
          <w:rFonts w:ascii="Arial" w:eastAsia="Arial" w:hAnsi="Arial"/>
          <w:color w:val="000000"/>
          <w:sz w:val="24"/>
          <w:szCs w:val="24"/>
          <w:highlight w:val="white"/>
        </w:rPr>
        <w:t xml:space="preserve">Average annual exchange rate fluctuation will be calculated using the Bank of England exchange rates.​ </w:t>
      </w:r>
    </w:p>
    <w:p w14:paraId="00000086" w14:textId="77777777" w:rsidR="00892BBA" w:rsidRPr="00CC1AAA" w:rsidRDefault="00DA7CC1" w:rsidP="00CC1AAA">
      <w:pPr>
        <w:pStyle w:val="GPSL2numberedclause"/>
        <w:ind w:left="567" w:hanging="281"/>
        <w:rPr>
          <w:rFonts w:ascii="Arial" w:eastAsia="Arial" w:hAnsi="Arial"/>
          <w:color w:val="000000"/>
          <w:sz w:val="24"/>
          <w:szCs w:val="24"/>
          <w:highlight w:val="white"/>
        </w:rPr>
      </w:pPr>
      <w:r w:rsidRPr="00CC1AAA">
        <w:rPr>
          <w:rFonts w:ascii="Arial" w:eastAsia="Arial" w:hAnsi="Arial"/>
          <w:color w:val="000000"/>
          <w:sz w:val="24"/>
          <w:szCs w:val="24"/>
          <w:highlight w:val="white"/>
        </w:rPr>
        <w:t>On the second Forex Change Date and on the third Forex Change Date (if applicable), the Framework Prices as adjusted on the previous Forex Change Date pursuant to the Forex Tracker will be adjusted to the Current Lot 4 Prices. Those Current Lot 4 Prices may be subject to further adjustment under the Forex Tracker with effect from the relevant Forex Change Date, if the exchange rate thresholds set out in Paragraph 10.3 are met or exceeded. Increases will neither be compounded nor cumulative and therefore, subject to Paragraph 10.4, increases made pursuant to the Forex Tracker shall never normally exceed 10% of the Current Lot 4 Prices​</w:t>
      </w:r>
    </w:p>
    <w:p w14:paraId="00000087" w14:textId="77777777" w:rsidR="00892BBA" w:rsidRPr="00CC1AAA" w:rsidRDefault="00DA7CC1" w:rsidP="00CC1AAA">
      <w:pPr>
        <w:pStyle w:val="GPSL2numberedclause"/>
        <w:ind w:left="567" w:hanging="281"/>
        <w:rPr>
          <w:rFonts w:ascii="Arial" w:eastAsia="Arial" w:hAnsi="Arial"/>
          <w:color w:val="000000"/>
          <w:sz w:val="24"/>
          <w:szCs w:val="24"/>
          <w:highlight w:val="white"/>
        </w:rPr>
      </w:pPr>
      <w:r w:rsidRPr="00CC1AAA">
        <w:rPr>
          <w:rFonts w:ascii="Arial" w:eastAsia="Arial" w:hAnsi="Arial"/>
          <w:color w:val="000000"/>
          <w:sz w:val="24"/>
          <w:szCs w:val="24"/>
          <w:highlight w:val="white"/>
        </w:rPr>
        <w:t>The Forex Tracker is available to all Suppliers appointed to any part of Lot 4 regardless of their registered domicile and headquarters. Suppliers will select which currency (USD or EUR) to be tracked against at the beginning of the Framework Agreement and will not be able to switch currencies.​</w:t>
      </w:r>
    </w:p>
    <w:p w14:paraId="00000088" w14:textId="77777777" w:rsidR="00892BBA" w:rsidRPr="00CC1AAA" w:rsidRDefault="00DA7CC1" w:rsidP="00CC1AAA">
      <w:pPr>
        <w:pStyle w:val="GPSL2numberedclause"/>
        <w:ind w:left="567" w:hanging="281"/>
        <w:rPr>
          <w:rFonts w:ascii="Arial" w:eastAsia="Arial" w:hAnsi="Arial"/>
          <w:color w:val="000000"/>
          <w:sz w:val="24"/>
          <w:szCs w:val="24"/>
          <w:highlight w:val="white"/>
        </w:rPr>
      </w:pPr>
      <w:r w:rsidRPr="00CC1AAA">
        <w:rPr>
          <w:rFonts w:ascii="Arial" w:eastAsia="Arial" w:hAnsi="Arial"/>
          <w:color w:val="000000"/>
          <w:sz w:val="24"/>
          <w:szCs w:val="24"/>
          <w:highlight w:val="white"/>
        </w:rPr>
        <w:t xml:space="preserve">Where a relevant threshold in the Forex Tracker is met or exceeded, the increase to Framework Prices under Lot 4 of the Framework Contract will be for the Supplier to implement in its invoices. </w:t>
      </w:r>
    </w:p>
    <w:p w14:paraId="00000089" w14:textId="77777777" w:rsidR="00892BBA" w:rsidRPr="00CC1AAA" w:rsidRDefault="00DA7CC1" w:rsidP="00CC1AAA">
      <w:pPr>
        <w:pStyle w:val="GPSL2numberedclause"/>
        <w:ind w:left="567" w:hanging="281"/>
        <w:rPr>
          <w:rFonts w:ascii="Arial" w:eastAsia="Arial" w:hAnsi="Arial"/>
          <w:color w:val="000000"/>
          <w:sz w:val="24"/>
          <w:szCs w:val="24"/>
          <w:highlight w:val="white"/>
        </w:rPr>
      </w:pPr>
      <w:r w:rsidRPr="00CC1AAA">
        <w:rPr>
          <w:rFonts w:ascii="Arial" w:eastAsia="Arial" w:hAnsi="Arial"/>
          <w:color w:val="000000"/>
          <w:sz w:val="24"/>
          <w:szCs w:val="24"/>
          <w:highlight w:val="white"/>
        </w:rPr>
        <w:t>The rate increase applies only to the Framework Prices that can be charged under the Framework Contract, and shall not affect the Framework Prices payable by a Buyer under a Call-off Contract in force at the time the increase under the Forex Tracker is applied.</w:t>
      </w:r>
    </w:p>
    <w:p w14:paraId="0000008A" w14:textId="77777777" w:rsidR="00892BBA" w:rsidRPr="00CC1AAA" w:rsidRDefault="00DA7CC1" w:rsidP="00CC1AAA">
      <w:pPr>
        <w:pStyle w:val="GPSL2numberedclause"/>
        <w:ind w:left="567" w:hanging="281"/>
        <w:rPr>
          <w:rFonts w:ascii="Arial" w:eastAsia="Arial" w:hAnsi="Arial"/>
          <w:b/>
          <w:color w:val="000000"/>
          <w:sz w:val="24"/>
          <w:szCs w:val="24"/>
        </w:rPr>
      </w:pPr>
      <w:r w:rsidRPr="00CC1AAA">
        <w:rPr>
          <w:rFonts w:ascii="Arial" w:eastAsia="Arial" w:hAnsi="Arial"/>
          <w:color w:val="000000"/>
          <w:sz w:val="24"/>
          <w:szCs w:val="24"/>
          <w:highlight w:val="white"/>
        </w:rPr>
        <w:t>A worked example is provided in Annex 3 for illustrative purposes.</w:t>
      </w:r>
    </w:p>
    <w:p w14:paraId="0000008B" w14:textId="0D855221" w:rsidR="00892BBA" w:rsidRPr="00CC1AAA" w:rsidRDefault="00CC1AAA" w:rsidP="00FB3C47">
      <w:pPr>
        <w:pStyle w:val="GPSL1CLAUSEHEADING"/>
        <w:ind w:left="142" w:hanging="142"/>
        <w:rPr>
          <w:rFonts w:eastAsia="Arial"/>
          <w:b w:val="0"/>
          <w:caps w:val="0"/>
          <w:color w:val="000000"/>
          <w:sz w:val="24"/>
          <w:szCs w:val="24"/>
        </w:rPr>
      </w:pPr>
      <w:r>
        <w:rPr>
          <w:rFonts w:ascii="Arial" w:eastAsia="Arial" w:hAnsi="Arial"/>
          <w:smallCaps/>
          <w:color w:val="000000"/>
          <w:sz w:val="24"/>
          <w:szCs w:val="24"/>
        </w:rPr>
        <w:t xml:space="preserve">  </w:t>
      </w:r>
      <w:r w:rsidR="00DA7CC1" w:rsidRPr="00CC1AAA">
        <w:rPr>
          <w:rFonts w:eastAsia="Arial"/>
          <w:caps w:val="0"/>
          <w:color w:val="000000"/>
          <w:sz w:val="24"/>
          <w:szCs w:val="24"/>
        </w:rPr>
        <w:t>No application of Inflation Tracker, Forex Tracker or volume discount to other</w:t>
      </w:r>
      <w:r w:rsidR="00FB3C47">
        <w:rPr>
          <w:rFonts w:eastAsia="Arial"/>
          <w:caps w:val="0"/>
          <w:color w:val="000000"/>
          <w:sz w:val="24"/>
          <w:szCs w:val="24"/>
        </w:rPr>
        <w:t xml:space="preserve"> </w:t>
      </w:r>
      <w:r w:rsidR="00DA7CC1" w:rsidRPr="00CC1AAA">
        <w:rPr>
          <w:rFonts w:eastAsia="Arial"/>
          <w:caps w:val="0"/>
          <w:color w:val="000000"/>
          <w:sz w:val="24"/>
          <w:szCs w:val="24"/>
        </w:rPr>
        <w:t>costs</w:t>
      </w:r>
    </w:p>
    <w:p w14:paraId="0000008C" w14:textId="77777777" w:rsidR="00892BBA" w:rsidRPr="00CC1AAA" w:rsidRDefault="00DA7CC1" w:rsidP="00CC1AAA">
      <w:pPr>
        <w:pStyle w:val="GPSL2numberedclause"/>
        <w:ind w:left="567" w:hanging="281"/>
        <w:rPr>
          <w:rFonts w:ascii="Arial" w:eastAsia="Arial" w:hAnsi="Arial"/>
          <w:color w:val="000000"/>
          <w:sz w:val="24"/>
          <w:szCs w:val="24"/>
          <w:highlight w:val="white"/>
        </w:rPr>
      </w:pPr>
      <w:r w:rsidRPr="00CC1AAA">
        <w:rPr>
          <w:rFonts w:ascii="Arial" w:eastAsia="Arial" w:hAnsi="Arial"/>
          <w:color w:val="000000"/>
          <w:sz w:val="24"/>
          <w:szCs w:val="24"/>
          <w:highlight w:val="white"/>
        </w:rPr>
        <w:t xml:space="preserve">The Inflation Tracker, Forex Tracker and Volume Discount mechanism only apply to the Framework Prices.  All other costs, expenses, fees and charges (including those set out in Paragraph 5) shall not be adjusted to take account of any </w:t>
      </w:r>
      <w:r w:rsidRPr="00CC1AAA">
        <w:rPr>
          <w:rFonts w:ascii="Arial" w:eastAsia="Arial" w:hAnsi="Arial"/>
          <w:color w:val="000000"/>
          <w:sz w:val="24"/>
          <w:szCs w:val="24"/>
          <w:highlight w:val="white"/>
        </w:rPr>
        <w:lastRenderedPageBreak/>
        <w:t xml:space="preserve">inflation, change to exchange rate, change to interest rate or any other factor or element which might otherwise increase the cost to the Supplier. </w:t>
      </w:r>
    </w:p>
    <w:p w14:paraId="0000008D" w14:textId="77777777" w:rsidR="00892BBA" w:rsidRPr="00CC1AAA" w:rsidRDefault="00DA7CC1">
      <w:pPr>
        <w:tabs>
          <w:tab w:val="left" w:pos="0"/>
        </w:tabs>
        <w:spacing w:before="120" w:after="120"/>
        <w:ind w:left="3040" w:hanging="1380"/>
        <w:jc w:val="both"/>
        <w:rPr>
          <w:rFonts w:ascii="Arial" w:eastAsia="Arial" w:hAnsi="Arial" w:cs="Arial"/>
          <w:b/>
          <w:sz w:val="24"/>
          <w:szCs w:val="24"/>
        </w:rPr>
      </w:pPr>
      <w:r w:rsidRPr="00CC1AAA">
        <w:rPr>
          <w:rFonts w:ascii="Arial" w:eastAsia="Arial" w:hAnsi="Arial" w:cs="Arial"/>
          <w:b/>
          <w:sz w:val="24"/>
          <w:szCs w:val="24"/>
        </w:rPr>
        <w:t xml:space="preserve"> </w:t>
      </w:r>
    </w:p>
    <w:p w14:paraId="0000008E" w14:textId="77777777" w:rsidR="00892BBA" w:rsidRPr="00CC1AAA" w:rsidRDefault="00DA7CC1">
      <w:pPr>
        <w:tabs>
          <w:tab w:val="left" w:pos="0"/>
        </w:tabs>
        <w:spacing w:before="240" w:after="240"/>
        <w:ind w:left="360"/>
        <w:jc w:val="both"/>
        <w:rPr>
          <w:rFonts w:ascii="Arial" w:eastAsia="Arial" w:hAnsi="Arial" w:cs="Arial"/>
          <w:b/>
          <w:sz w:val="24"/>
          <w:szCs w:val="24"/>
          <w:highlight w:val="yellow"/>
        </w:rPr>
      </w:pPr>
      <w:r w:rsidRPr="00CC1AAA">
        <w:rPr>
          <w:rFonts w:ascii="Arial" w:eastAsia="Arial" w:hAnsi="Arial" w:cs="Arial"/>
          <w:sz w:val="24"/>
          <w:szCs w:val="24"/>
        </w:rPr>
        <w:t xml:space="preserve">     </w:t>
      </w:r>
    </w:p>
    <w:p w14:paraId="0000008F" w14:textId="77777777" w:rsidR="00892BBA" w:rsidRPr="00CC1AAA" w:rsidRDefault="00DA7CC1">
      <w:pPr>
        <w:rPr>
          <w:rFonts w:ascii="Arial" w:eastAsia="Arial" w:hAnsi="Arial" w:cs="Arial"/>
          <w:b/>
          <w:sz w:val="24"/>
          <w:szCs w:val="24"/>
        </w:rPr>
      </w:pPr>
      <w:bookmarkStart w:id="21" w:name="_heading=h.1t3h5sf" w:colFirst="0" w:colLast="0"/>
      <w:bookmarkEnd w:id="21"/>
      <w:r w:rsidRPr="00CC1AAA">
        <w:rPr>
          <w:rFonts w:ascii="Arial" w:hAnsi="Arial" w:cs="Arial"/>
          <w:sz w:val="24"/>
          <w:szCs w:val="24"/>
        </w:rPr>
        <w:br w:type="page"/>
      </w:r>
      <w:r w:rsidRPr="00CC1AAA">
        <w:rPr>
          <w:rFonts w:ascii="Arial" w:eastAsia="Arial" w:hAnsi="Arial" w:cs="Arial"/>
          <w:b/>
          <w:sz w:val="24"/>
          <w:szCs w:val="24"/>
        </w:rPr>
        <w:lastRenderedPageBreak/>
        <w:t>Annex 1: Framework Prices</w:t>
      </w:r>
    </w:p>
    <w:p w14:paraId="00000091" w14:textId="77777777" w:rsidR="00892BBA" w:rsidRPr="00CC1AAA" w:rsidRDefault="00DA7CC1">
      <w:pPr>
        <w:rPr>
          <w:rFonts w:ascii="Arial" w:eastAsia="Arial" w:hAnsi="Arial" w:cs="Arial"/>
          <w:b/>
          <w:sz w:val="24"/>
          <w:szCs w:val="24"/>
        </w:rPr>
      </w:pPr>
      <w:bookmarkStart w:id="22" w:name="_heading=h.4d34og8" w:colFirst="0" w:colLast="0"/>
      <w:bookmarkEnd w:id="22"/>
      <w:r w:rsidRPr="00CC1AAA">
        <w:rPr>
          <w:rFonts w:ascii="Arial" w:eastAsia="Arial" w:hAnsi="Arial" w:cs="Arial"/>
          <w:b/>
          <w:sz w:val="24"/>
          <w:szCs w:val="24"/>
        </w:rPr>
        <w:t>Table 1: Lot 1</w:t>
      </w:r>
    </w:p>
    <w:tbl>
      <w:tblPr>
        <w:tblStyle w:val="a"/>
        <w:tblW w:w="9015"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4450"/>
        <w:gridCol w:w="4565"/>
      </w:tblGrid>
      <w:tr w:rsidR="00892BBA" w:rsidRPr="00CC1AAA" w14:paraId="2FC6A44A" w14:textId="77777777">
        <w:tc>
          <w:tcPr>
            <w:tcW w:w="4450" w:type="dxa"/>
            <w:tcBorders>
              <w:top w:val="single" w:sz="4" w:space="0" w:color="808080"/>
              <w:left w:val="single" w:sz="4" w:space="0" w:color="808080"/>
              <w:bottom w:val="single" w:sz="4" w:space="0" w:color="808080"/>
              <w:right w:val="single" w:sz="4" w:space="0" w:color="808080"/>
            </w:tcBorders>
            <w:shd w:val="clear" w:color="auto" w:fill="BFBFBF"/>
          </w:tcPr>
          <w:p w14:paraId="00000092"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Staff Grade</w:t>
            </w:r>
          </w:p>
        </w:tc>
        <w:tc>
          <w:tcPr>
            <w:tcW w:w="4565" w:type="dxa"/>
            <w:tcBorders>
              <w:top w:val="single" w:sz="4" w:space="0" w:color="808080"/>
              <w:left w:val="single" w:sz="4" w:space="0" w:color="808080"/>
              <w:bottom w:val="single" w:sz="4" w:space="0" w:color="808080"/>
              <w:right w:val="single" w:sz="4" w:space="0" w:color="808080"/>
            </w:tcBorders>
            <w:shd w:val="clear" w:color="auto" w:fill="BFBFBF"/>
          </w:tcPr>
          <w:p w14:paraId="00000093"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Hourly Rate (£)</w:t>
            </w:r>
          </w:p>
        </w:tc>
      </w:tr>
      <w:tr w:rsidR="00892BBA" w:rsidRPr="00CC1AAA" w14:paraId="72997EA6" w14:textId="77777777">
        <w:tc>
          <w:tcPr>
            <w:tcW w:w="4450" w:type="dxa"/>
            <w:tcBorders>
              <w:top w:val="single" w:sz="4" w:space="0" w:color="808080"/>
              <w:left w:val="single" w:sz="4" w:space="0" w:color="808080"/>
              <w:bottom w:val="single" w:sz="4" w:space="0" w:color="808080"/>
              <w:right w:val="single" w:sz="4" w:space="0" w:color="808080"/>
            </w:tcBorders>
          </w:tcPr>
          <w:p w14:paraId="00000094"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Partner</w:t>
            </w:r>
          </w:p>
        </w:tc>
        <w:tc>
          <w:tcPr>
            <w:tcW w:w="4565" w:type="dxa"/>
            <w:tcBorders>
              <w:top w:val="single" w:sz="4" w:space="0" w:color="808080"/>
              <w:left w:val="single" w:sz="4" w:space="0" w:color="808080"/>
              <w:bottom w:val="single" w:sz="4" w:space="0" w:color="808080"/>
              <w:right w:val="single" w:sz="4" w:space="0" w:color="808080"/>
            </w:tcBorders>
          </w:tcPr>
          <w:p w14:paraId="00000095"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059CA95C" w14:textId="77777777">
        <w:tc>
          <w:tcPr>
            <w:tcW w:w="4450" w:type="dxa"/>
            <w:tcBorders>
              <w:top w:val="single" w:sz="4" w:space="0" w:color="808080"/>
              <w:left w:val="single" w:sz="4" w:space="0" w:color="808080"/>
              <w:bottom w:val="single" w:sz="4" w:space="0" w:color="808080"/>
              <w:right w:val="single" w:sz="4" w:space="0" w:color="808080"/>
            </w:tcBorders>
          </w:tcPr>
          <w:p w14:paraId="00000096"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Legal Director/Counsel or equivalent</w:t>
            </w:r>
          </w:p>
        </w:tc>
        <w:tc>
          <w:tcPr>
            <w:tcW w:w="4565" w:type="dxa"/>
            <w:tcBorders>
              <w:top w:val="single" w:sz="4" w:space="0" w:color="808080"/>
              <w:left w:val="single" w:sz="4" w:space="0" w:color="808080"/>
              <w:bottom w:val="single" w:sz="4" w:space="0" w:color="808080"/>
              <w:right w:val="single" w:sz="4" w:space="0" w:color="808080"/>
            </w:tcBorders>
          </w:tcPr>
          <w:p w14:paraId="00000097"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619D60F" w14:textId="77777777">
        <w:tc>
          <w:tcPr>
            <w:tcW w:w="4450" w:type="dxa"/>
            <w:tcBorders>
              <w:top w:val="single" w:sz="4" w:space="0" w:color="808080"/>
              <w:left w:val="single" w:sz="4" w:space="0" w:color="808080"/>
              <w:bottom w:val="single" w:sz="4" w:space="0" w:color="808080"/>
              <w:right w:val="single" w:sz="4" w:space="0" w:color="808080"/>
            </w:tcBorders>
          </w:tcPr>
          <w:p w14:paraId="00000098"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Senior Solicitor/Senior Associate/Senior Legal Executive</w:t>
            </w:r>
          </w:p>
        </w:tc>
        <w:tc>
          <w:tcPr>
            <w:tcW w:w="4565" w:type="dxa"/>
            <w:tcBorders>
              <w:top w:val="single" w:sz="4" w:space="0" w:color="808080"/>
              <w:left w:val="single" w:sz="4" w:space="0" w:color="808080"/>
              <w:bottom w:val="single" w:sz="4" w:space="0" w:color="808080"/>
              <w:right w:val="single" w:sz="4" w:space="0" w:color="808080"/>
            </w:tcBorders>
          </w:tcPr>
          <w:p w14:paraId="00000099"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0835DAAA" w14:textId="77777777">
        <w:tc>
          <w:tcPr>
            <w:tcW w:w="4450" w:type="dxa"/>
            <w:tcBorders>
              <w:top w:val="single" w:sz="4" w:space="0" w:color="808080"/>
              <w:left w:val="single" w:sz="4" w:space="0" w:color="808080"/>
              <w:bottom w:val="single" w:sz="4" w:space="0" w:color="808080"/>
              <w:right w:val="single" w:sz="4" w:space="0" w:color="808080"/>
            </w:tcBorders>
          </w:tcPr>
          <w:p w14:paraId="0000009A"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Solicitor/Associate/Legal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09B"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15125DBD" w14:textId="77777777">
        <w:tc>
          <w:tcPr>
            <w:tcW w:w="4450" w:type="dxa"/>
            <w:tcBorders>
              <w:top w:val="single" w:sz="4" w:space="0" w:color="808080"/>
              <w:left w:val="single" w:sz="4" w:space="0" w:color="808080"/>
              <w:bottom w:val="single" w:sz="4" w:space="0" w:color="808080"/>
              <w:right w:val="single" w:sz="4" w:space="0" w:color="808080"/>
            </w:tcBorders>
          </w:tcPr>
          <w:p w14:paraId="0000009C"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NQ Solicitor/Associate/Junior Solicitor/ 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09D"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7CA2D50D" w14:textId="77777777">
        <w:tc>
          <w:tcPr>
            <w:tcW w:w="4450" w:type="dxa"/>
            <w:tcBorders>
              <w:top w:val="single" w:sz="4" w:space="0" w:color="808080"/>
              <w:left w:val="single" w:sz="4" w:space="0" w:color="808080"/>
              <w:bottom w:val="single" w:sz="4" w:space="0" w:color="808080"/>
              <w:right w:val="single" w:sz="4" w:space="0" w:color="808080"/>
            </w:tcBorders>
          </w:tcPr>
          <w:p w14:paraId="0000009E"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Trainee/Legal Apprentice</w:t>
            </w:r>
          </w:p>
        </w:tc>
        <w:tc>
          <w:tcPr>
            <w:tcW w:w="4565" w:type="dxa"/>
            <w:tcBorders>
              <w:top w:val="single" w:sz="4" w:space="0" w:color="808080"/>
              <w:left w:val="single" w:sz="4" w:space="0" w:color="808080"/>
              <w:bottom w:val="single" w:sz="4" w:space="0" w:color="808080"/>
              <w:right w:val="single" w:sz="4" w:space="0" w:color="808080"/>
            </w:tcBorders>
          </w:tcPr>
          <w:p w14:paraId="0000009F"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0DD4592C" w14:textId="77777777">
        <w:tc>
          <w:tcPr>
            <w:tcW w:w="4450" w:type="dxa"/>
            <w:tcBorders>
              <w:top w:val="single" w:sz="4" w:space="0" w:color="808080"/>
              <w:left w:val="single" w:sz="4" w:space="0" w:color="808080"/>
              <w:bottom w:val="single" w:sz="4" w:space="0" w:color="808080"/>
              <w:right w:val="single" w:sz="4" w:space="0" w:color="808080"/>
            </w:tcBorders>
          </w:tcPr>
          <w:p w14:paraId="000000A0"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Paralegal/Legal Assistant</w:t>
            </w:r>
          </w:p>
        </w:tc>
        <w:tc>
          <w:tcPr>
            <w:tcW w:w="4565" w:type="dxa"/>
            <w:tcBorders>
              <w:top w:val="single" w:sz="4" w:space="0" w:color="808080"/>
              <w:left w:val="single" w:sz="4" w:space="0" w:color="808080"/>
              <w:bottom w:val="single" w:sz="4" w:space="0" w:color="808080"/>
              <w:right w:val="single" w:sz="4" w:space="0" w:color="808080"/>
            </w:tcBorders>
          </w:tcPr>
          <w:p w14:paraId="000000A1"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266DB3CB" w14:textId="77777777">
        <w:tc>
          <w:tcPr>
            <w:tcW w:w="4450" w:type="dxa"/>
            <w:tcBorders>
              <w:top w:val="single" w:sz="4" w:space="0" w:color="808080"/>
              <w:left w:val="single" w:sz="4" w:space="0" w:color="808080"/>
              <w:bottom w:val="single" w:sz="4" w:space="0" w:color="808080"/>
              <w:right w:val="single" w:sz="4" w:space="0" w:color="808080"/>
            </w:tcBorders>
          </w:tcPr>
          <w:p w14:paraId="000000A2"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Legal Project Manager</w:t>
            </w:r>
          </w:p>
        </w:tc>
        <w:tc>
          <w:tcPr>
            <w:tcW w:w="4565" w:type="dxa"/>
            <w:tcBorders>
              <w:top w:val="single" w:sz="4" w:space="0" w:color="808080"/>
              <w:left w:val="single" w:sz="4" w:space="0" w:color="808080"/>
              <w:bottom w:val="single" w:sz="4" w:space="0" w:color="808080"/>
              <w:right w:val="single" w:sz="4" w:space="0" w:color="808080"/>
            </w:tcBorders>
          </w:tcPr>
          <w:p w14:paraId="000000A3"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bl>
    <w:p w14:paraId="000000A4" w14:textId="77777777" w:rsidR="00892BBA" w:rsidRPr="00CC1AAA" w:rsidRDefault="00892BBA">
      <w:pPr>
        <w:rPr>
          <w:rFonts w:ascii="Arial" w:eastAsia="Arial" w:hAnsi="Arial" w:cs="Arial"/>
          <w:b/>
          <w:sz w:val="24"/>
          <w:szCs w:val="24"/>
        </w:rPr>
      </w:pPr>
    </w:p>
    <w:p w14:paraId="000000A5"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Table 2: Lot 2</w:t>
      </w:r>
    </w:p>
    <w:tbl>
      <w:tblPr>
        <w:tblStyle w:val="a0"/>
        <w:tblW w:w="9015"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4450"/>
        <w:gridCol w:w="4565"/>
      </w:tblGrid>
      <w:tr w:rsidR="00892BBA" w:rsidRPr="00CC1AAA" w14:paraId="59973F2C" w14:textId="77777777">
        <w:tc>
          <w:tcPr>
            <w:tcW w:w="4450" w:type="dxa"/>
            <w:tcBorders>
              <w:top w:val="single" w:sz="4" w:space="0" w:color="808080"/>
              <w:left w:val="single" w:sz="4" w:space="0" w:color="808080"/>
              <w:bottom w:val="single" w:sz="4" w:space="0" w:color="808080"/>
              <w:right w:val="single" w:sz="4" w:space="0" w:color="808080"/>
            </w:tcBorders>
            <w:shd w:val="clear" w:color="auto" w:fill="BFBFBF"/>
          </w:tcPr>
          <w:p w14:paraId="000000A6"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Staff Grade</w:t>
            </w:r>
          </w:p>
        </w:tc>
        <w:tc>
          <w:tcPr>
            <w:tcW w:w="4565" w:type="dxa"/>
            <w:tcBorders>
              <w:top w:val="single" w:sz="4" w:space="0" w:color="808080"/>
              <w:left w:val="single" w:sz="4" w:space="0" w:color="808080"/>
              <w:bottom w:val="single" w:sz="4" w:space="0" w:color="808080"/>
              <w:right w:val="single" w:sz="4" w:space="0" w:color="808080"/>
            </w:tcBorders>
            <w:shd w:val="clear" w:color="auto" w:fill="BFBFBF"/>
          </w:tcPr>
          <w:p w14:paraId="000000A7"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Hourly Rate (£)</w:t>
            </w:r>
          </w:p>
        </w:tc>
      </w:tr>
      <w:tr w:rsidR="00892BBA" w:rsidRPr="00CC1AAA" w14:paraId="1A5F5F51" w14:textId="77777777">
        <w:tc>
          <w:tcPr>
            <w:tcW w:w="4450" w:type="dxa"/>
            <w:tcBorders>
              <w:top w:val="single" w:sz="4" w:space="0" w:color="808080"/>
              <w:left w:val="single" w:sz="4" w:space="0" w:color="808080"/>
              <w:bottom w:val="single" w:sz="4" w:space="0" w:color="808080"/>
              <w:right w:val="single" w:sz="4" w:space="0" w:color="808080"/>
            </w:tcBorders>
          </w:tcPr>
          <w:p w14:paraId="000000A8"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Partner</w:t>
            </w:r>
          </w:p>
        </w:tc>
        <w:tc>
          <w:tcPr>
            <w:tcW w:w="4565" w:type="dxa"/>
            <w:tcBorders>
              <w:top w:val="single" w:sz="4" w:space="0" w:color="808080"/>
              <w:left w:val="single" w:sz="4" w:space="0" w:color="808080"/>
              <w:bottom w:val="single" w:sz="4" w:space="0" w:color="808080"/>
              <w:right w:val="single" w:sz="4" w:space="0" w:color="808080"/>
            </w:tcBorders>
          </w:tcPr>
          <w:p w14:paraId="000000A9"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57D86238" w14:textId="77777777">
        <w:tc>
          <w:tcPr>
            <w:tcW w:w="4450" w:type="dxa"/>
            <w:tcBorders>
              <w:top w:val="single" w:sz="4" w:space="0" w:color="808080"/>
              <w:left w:val="single" w:sz="4" w:space="0" w:color="808080"/>
              <w:bottom w:val="single" w:sz="4" w:space="0" w:color="808080"/>
              <w:right w:val="single" w:sz="4" w:space="0" w:color="808080"/>
            </w:tcBorders>
          </w:tcPr>
          <w:p w14:paraId="000000AA"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Legal Director/Counsel or equivalent</w:t>
            </w:r>
          </w:p>
        </w:tc>
        <w:tc>
          <w:tcPr>
            <w:tcW w:w="4565" w:type="dxa"/>
            <w:tcBorders>
              <w:top w:val="single" w:sz="4" w:space="0" w:color="808080"/>
              <w:left w:val="single" w:sz="4" w:space="0" w:color="808080"/>
              <w:bottom w:val="single" w:sz="4" w:space="0" w:color="808080"/>
              <w:right w:val="single" w:sz="4" w:space="0" w:color="808080"/>
            </w:tcBorders>
          </w:tcPr>
          <w:p w14:paraId="000000AB"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233CD63D" w14:textId="77777777">
        <w:tc>
          <w:tcPr>
            <w:tcW w:w="4450" w:type="dxa"/>
            <w:tcBorders>
              <w:top w:val="single" w:sz="4" w:space="0" w:color="808080"/>
              <w:left w:val="single" w:sz="4" w:space="0" w:color="808080"/>
              <w:bottom w:val="single" w:sz="4" w:space="0" w:color="808080"/>
              <w:right w:val="single" w:sz="4" w:space="0" w:color="808080"/>
            </w:tcBorders>
          </w:tcPr>
          <w:p w14:paraId="000000AC"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Senior Solicitor/Senior Associate/Senior Legal Executive</w:t>
            </w:r>
          </w:p>
        </w:tc>
        <w:tc>
          <w:tcPr>
            <w:tcW w:w="4565" w:type="dxa"/>
            <w:tcBorders>
              <w:top w:val="single" w:sz="4" w:space="0" w:color="808080"/>
              <w:left w:val="single" w:sz="4" w:space="0" w:color="808080"/>
              <w:bottom w:val="single" w:sz="4" w:space="0" w:color="808080"/>
              <w:right w:val="single" w:sz="4" w:space="0" w:color="808080"/>
            </w:tcBorders>
          </w:tcPr>
          <w:p w14:paraId="000000AD"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FF3981B" w14:textId="77777777">
        <w:tc>
          <w:tcPr>
            <w:tcW w:w="4450" w:type="dxa"/>
            <w:tcBorders>
              <w:top w:val="single" w:sz="4" w:space="0" w:color="808080"/>
              <w:left w:val="single" w:sz="4" w:space="0" w:color="808080"/>
              <w:bottom w:val="single" w:sz="4" w:space="0" w:color="808080"/>
              <w:right w:val="single" w:sz="4" w:space="0" w:color="808080"/>
            </w:tcBorders>
          </w:tcPr>
          <w:p w14:paraId="000000AE"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Solicitor/Associate/Legal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0AF"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F1F3B9E" w14:textId="77777777">
        <w:tc>
          <w:tcPr>
            <w:tcW w:w="4450" w:type="dxa"/>
            <w:tcBorders>
              <w:top w:val="single" w:sz="4" w:space="0" w:color="808080"/>
              <w:left w:val="single" w:sz="4" w:space="0" w:color="808080"/>
              <w:bottom w:val="single" w:sz="4" w:space="0" w:color="808080"/>
              <w:right w:val="single" w:sz="4" w:space="0" w:color="808080"/>
            </w:tcBorders>
          </w:tcPr>
          <w:p w14:paraId="000000B0"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NQ Solicitor/Associate/Junior Solicitor/ 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0B1"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1C3F0753" w14:textId="77777777">
        <w:tc>
          <w:tcPr>
            <w:tcW w:w="4450" w:type="dxa"/>
            <w:tcBorders>
              <w:top w:val="single" w:sz="4" w:space="0" w:color="808080"/>
              <w:left w:val="single" w:sz="4" w:space="0" w:color="808080"/>
              <w:bottom w:val="single" w:sz="4" w:space="0" w:color="808080"/>
              <w:right w:val="single" w:sz="4" w:space="0" w:color="808080"/>
            </w:tcBorders>
          </w:tcPr>
          <w:p w14:paraId="000000B2"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Trainee/Legal Apprentice</w:t>
            </w:r>
          </w:p>
        </w:tc>
        <w:tc>
          <w:tcPr>
            <w:tcW w:w="4565" w:type="dxa"/>
            <w:tcBorders>
              <w:top w:val="single" w:sz="4" w:space="0" w:color="808080"/>
              <w:left w:val="single" w:sz="4" w:space="0" w:color="808080"/>
              <w:bottom w:val="single" w:sz="4" w:space="0" w:color="808080"/>
              <w:right w:val="single" w:sz="4" w:space="0" w:color="808080"/>
            </w:tcBorders>
          </w:tcPr>
          <w:p w14:paraId="000000B3"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3908B66C" w14:textId="77777777">
        <w:tc>
          <w:tcPr>
            <w:tcW w:w="4450" w:type="dxa"/>
            <w:tcBorders>
              <w:top w:val="single" w:sz="4" w:space="0" w:color="808080"/>
              <w:left w:val="single" w:sz="4" w:space="0" w:color="808080"/>
              <w:bottom w:val="single" w:sz="4" w:space="0" w:color="808080"/>
              <w:right w:val="single" w:sz="4" w:space="0" w:color="808080"/>
            </w:tcBorders>
          </w:tcPr>
          <w:p w14:paraId="000000B4"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Paralegal/Legal Assistant</w:t>
            </w:r>
          </w:p>
        </w:tc>
        <w:tc>
          <w:tcPr>
            <w:tcW w:w="4565" w:type="dxa"/>
            <w:tcBorders>
              <w:top w:val="single" w:sz="4" w:space="0" w:color="808080"/>
              <w:left w:val="single" w:sz="4" w:space="0" w:color="808080"/>
              <w:bottom w:val="single" w:sz="4" w:space="0" w:color="808080"/>
              <w:right w:val="single" w:sz="4" w:space="0" w:color="808080"/>
            </w:tcBorders>
          </w:tcPr>
          <w:p w14:paraId="000000B5"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1E4B1AB6" w14:textId="77777777">
        <w:tc>
          <w:tcPr>
            <w:tcW w:w="4450" w:type="dxa"/>
            <w:tcBorders>
              <w:top w:val="single" w:sz="4" w:space="0" w:color="808080"/>
              <w:left w:val="single" w:sz="4" w:space="0" w:color="808080"/>
              <w:bottom w:val="single" w:sz="4" w:space="0" w:color="808080"/>
              <w:right w:val="single" w:sz="4" w:space="0" w:color="808080"/>
            </w:tcBorders>
          </w:tcPr>
          <w:p w14:paraId="000000B6"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Legal Project Manager</w:t>
            </w:r>
          </w:p>
        </w:tc>
        <w:tc>
          <w:tcPr>
            <w:tcW w:w="4565" w:type="dxa"/>
            <w:tcBorders>
              <w:top w:val="single" w:sz="4" w:space="0" w:color="808080"/>
              <w:left w:val="single" w:sz="4" w:space="0" w:color="808080"/>
              <w:bottom w:val="single" w:sz="4" w:space="0" w:color="808080"/>
              <w:right w:val="single" w:sz="4" w:space="0" w:color="808080"/>
            </w:tcBorders>
          </w:tcPr>
          <w:p w14:paraId="000000B7"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bl>
    <w:p w14:paraId="000000BB" w14:textId="77777777" w:rsidR="00892BBA" w:rsidRPr="00CC1AAA" w:rsidRDefault="00892BBA">
      <w:pPr>
        <w:rPr>
          <w:rFonts w:ascii="Arial" w:eastAsia="Arial" w:hAnsi="Arial" w:cs="Arial"/>
          <w:b/>
          <w:sz w:val="24"/>
          <w:szCs w:val="24"/>
        </w:rPr>
      </w:pPr>
    </w:p>
    <w:p w14:paraId="000000BC"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lastRenderedPageBreak/>
        <w:t>Table 3: Lot 3</w:t>
      </w:r>
    </w:p>
    <w:tbl>
      <w:tblPr>
        <w:tblStyle w:val="a1"/>
        <w:tblW w:w="9015"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4450"/>
        <w:gridCol w:w="4565"/>
      </w:tblGrid>
      <w:tr w:rsidR="00892BBA" w:rsidRPr="00CC1AAA" w14:paraId="424C8AEA" w14:textId="77777777">
        <w:tc>
          <w:tcPr>
            <w:tcW w:w="4450" w:type="dxa"/>
            <w:tcBorders>
              <w:top w:val="single" w:sz="4" w:space="0" w:color="808080"/>
              <w:left w:val="single" w:sz="4" w:space="0" w:color="808080"/>
              <w:bottom w:val="single" w:sz="4" w:space="0" w:color="808080"/>
              <w:right w:val="single" w:sz="4" w:space="0" w:color="808080"/>
            </w:tcBorders>
            <w:shd w:val="clear" w:color="auto" w:fill="BFBFBF"/>
          </w:tcPr>
          <w:p w14:paraId="000000BD"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Staff Grade</w:t>
            </w:r>
          </w:p>
        </w:tc>
        <w:tc>
          <w:tcPr>
            <w:tcW w:w="4565" w:type="dxa"/>
            <w:tcBorders>
              <w:top w:val="single" w:sz="4" w:space="0" w:color="808080"/>
              <w:left w:val="single" w:sz="4" w:space="0" w:color="808080"/>
              <w:bottom w:val="single" w:sz="4" w:space="0" w:color="808080"/>
              <w:right w:val="single" w:sz="4" w:space="0" w:color="808080"/>
            </w:tcBorders>
            <w:shd w:val="clear" w:color="auto" w:fill="BFBFBF"/>
          </w:tcPr>
          <w:p w14:paraId="000000BE"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Hourly Rate (£)</w:t>
            </w:r>
          </w:p>
        </w:tc>
      </w:tr>
      <w:tr w:rsidR="00892BBA" w:rsidRPr="00CC1AAA" w14:paraId="0D7A01D6" w14:textId="77777777">
        <w:tc>
          <w:tcPr>
            <w:tcW w:w="4450" w:type="dxa"/>
            <w:tcBorders>
              <w:top w:val="single" w:sz="4" w:space="0" w:color="808080"/>
              <w:left w:val="single" w:sz="4" w:space="0" w:color="808080"/>
              <w:bottom w:val="single" w:sz="4" w:space="0" w:color="808080"/>
              <w:right w:val="single" w:sz="4" w:space="0" w:color="808080"/>
            </w:tcBorders>
          </w:tcPr>
          <w:p w14:paraId="000000BF"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Partner</w:t>
            </w:r>
          </w:p>
        </w:tc>
        <w:tc>
          <w:tcPr>
            <w:tcW w:w="4565" w:type="dxa"/>
            <w:tcBorders>
              <w:top w:val="single" w:sz="4" w:space="0" w:color="808080"/>
              <w:left w:val="single" w:sz="4" w:space="0" w:color="808080"/>
              <w:bottom w:val="single" w:sz="4" w:space="0" w:color="808080"/>
              <w:right w:val="single" w:sz="4" w:space="0" w:color="808080"/>
            </w:tcBorders>
          </w:tcPr>
          <w:p w14:paraId="000000C0"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1CA52584" w14:textId="77777777">
        <w:tc>
          <w:tcPr>
            <w:tcW w:w="4450" w:type="dxa"/>
            <w:tcBorders>
              <w:top w:val="single" w:sz="4" w:space="0" w:color="808080"/>
              <w:left w:val="single" w:sz="4" w:space="0" w:color="808080"/>
              <w:bottom w:val="single" w:sz="4" w:space="0" w:color="808080"/>
              <w:right w:val="single" w:sz="4" w:space="0" w:color="808080"/>
            </w:tcBorders>
          </w:tcPr>
          <w:p w14:paraId="000000C1"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Legal Director/Counsel or equivalent</w:t>
            </w:r>
          </w:p>
        </w:tc>
        <w:tc>
          <w:tcPr>
            <w:tcW w:w="4565" w:type="dxa"/>
            <w:tcBorders>
              <w:top w:val="single" w:sz="4" w:space="0" w:color="808080"/>
              <w:left w:val="single" w:sz="4" w:space="0" w:color="808080"/>
              <w:bottom w:val="single" w:sz="4" w:space="0" w:color="808080"/>
              <w:right w:val="single" w:sz="4" w:space="0" w:color="808080"/>
            </w:tcBorders>
          </w:tcPr>
          <w:p w14:paraId="000000C2"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069D0A54" w14:textId="77777777">
        <w:tc>
          <w:tcPr>
            <w:tcW w:w="4450" w:type="dxa"/>
            <w:tcBorders>
              <w:top w:val="single" w:sz="4" w:space="0" w:color="808080"/>
              <w:left w:val="single" w:sz="4" w:space="0" w:color="808080"/>
              <w:bottom w:val="single" w:sz="4" w:space="0" w:color="808080"/>
              <w:right w:val="single" w:sz="4" w:space="0" w:color="808080"/>
            </w:tcBorders>
          </w:tcPr>
          <w:p w14:paraId="000000C3"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Senior Solicitor/Senior Associate/Senior Legal Executive</w:t>
            </w:r>
          </w:p>
        </w:tc>
        <w:tc>
          <w:tcPr>
            <w:tcW w:w="4565" w:type="dxa"/>
            <w:tcBorders>
              <w:top w:val="single" w:sz="4" w:space="0" w:color="808080"/>
              <w:left w:val="single" w:sz="4" w:space="0" w:color="808080"/>
              <w:bottom w:val="single" w:sz="4" w:space="0" w:color="808080"/>
              <w:right w:val="single" w:sz="4" w:space="0" w:color="808080"/>
            </w:tcBorders>
          </w:tcPr>
          <w:p w14:paraId="000000C4"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51A1F608" w14:textId="77777777">
        <w:tc>
          <w:tcPr>
            <w:tcW w:w="4450" w:type="dxa"/>
            <w:tcBorders>
              <w:top w:val="single" w:sz="4" w:space="0" w:color="808080"/>
              <w:left w:val="single" w:sz="4" w:space="0" w:color="808080"/>
              <w:bottom w:val="single" w:sz="4" w:space="0" w:color="808080"/>
              <w:right w:val="single" w:sz="4" w:space="0" w:color="808080"/>
            </w:tcBorders>
          </w:tcPr>
          <w:p w14:paraId="000000C5"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Solicitor/Associate/Legal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0C6"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4D686F9D" w14:textId="77777777">
        <w:tc>
          <w:tcPr>
            <w:tcW w:w="4450" w:type="dxa"/>
            <w:tcBorders>
              <w:top w:val="single" w:sz="4" w:space="0" w:color="808080"/>
              <w:left w:val="single" w:sz="4" w:space="0" w:color="808080"/>
              <w:bottom w:val="single" w:sz="4" w:space="0" w:color="808080"/>
              <w:right w:val="single" w:sz="4" w:space="0" w:color="808080"/>
            </w:tcBorders>
          </w:tcPr>
          <w:p w14:paraId="000000C7"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NQ Solicitor/Associate/Junior Solicitor/ 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0C8"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3A8ECAA7" w14:textId="77777777">
        <w:tc>
          <w:tcPr>
            <w:tcW w:w="4450" w:type="dxa"/>
            <w:tcBorders>
              <w:top w:val="single" w:sz="4" w:space="0" w:color="808080"/>
              <w:left w:val="single" w:sz="4" w:space="0" w:color="808080"/>
              <w:bottom w:val="single" w:sz="4" w:space="0" w:color="808080"/>
              <w:right w:val="single" w:sz="4" w:space="0" w:color="808080"/>
            </w:tcBorders>
          </w:tcPr>
          <w:p w14:paraId="000000C9"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Trainee/Legal Apprentice</w:t>
            </w:r>
          </w:p>
        </w:tc>
        <w:tc>
          <w:tcPr>
            <w:tcW w:w="4565" w:type="dxa"/>
            <w:tcBorders>
              <w:top w:val="single" w:sz="4" w:space="0" w:color="808080"/>
              <w:left w:val="single" w:sz="4" w:space="0" w:color="808080"/>
              <w:bottom w:val="single" w:sz="4" w:space="0" w:color="808080"/>
              <w:right w:val="single" w:sz="4" w:space="0" w:color="808080"/>
            </w:tcBorders>
          </w:tcPr>
          <w:p w14:paraId="000000CA"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130142BC" w14:textId="77777777">
        <w:tc>
          <w:tcPr>
            <w:tcW w:w="4450" w:type="dxa"/>
            <w:tcBorders>
              <w:top w:val="single" w:sz="4" w:space="0" w:color="808080"/>
              <w:left w:val="single" w:sz="4" w:space="0" w:color="808080"/>
              <w:bottom w:val="single" w:sz="4" w:space="0" w:color="808080"/>
              <w:right w:val="single" w:sz="4" w:space="0" w:color="808080"/>
            </w:tcBorders>
          </w:tcPr>
          <w:p w14:paraId="000000CB"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Paralegal/Legal Assistant</w:t>
            </w:r>
          </w:p>
        </w:tc>
        <w:tc>
          <w:tcPr>
            <w:tcW w:w="4565" w:type="dxa"/>
            <w:tcBorders>
              <w:top w:val="single" w:sz="4" w:space="0" w:color="808080"/>
              <w:left w:val="single" w:sz="4" w:space="0" w:color="808080"/>
              <w:bottom w:val="single" w:sz="4" w:space="0" w:color="808080"/>
              <w:right w:val="single" w:sz="4" w:space="0" w:color="808080"/>
            </w:tcBorders>
          </w:tcPr>
          <w:p w14:paraId="000000CC"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3269E683" w14:textId="77777777">
        <w:tc>
          <w:tcPr>
            <w:tcW w:w="4450" w:type="dxa"/>
            <w:tcBorders>
              <w:top w:val="single" w:sz="4" w:space="0" w:color="808080"/>
              <w:left w:val="single" w:sz="4" w:space="0" w:color="808080"/>
              <w:bottom w:val="single" w:sz="4" w:space="0" w:color="808080"/>
              <w:right w:val="single" w:sz="4" w:space="0" w:color="808080"/>
            </w:tcBorders>
          </w:tcPr>
          <w:p w14:paraId="000000CD"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Legal Project Manager</w:t>
            </w:r>
          </w:p>
        </w:tc>
        <w:tc>
          <w:tcPr>
            <w:tcW w:w="4565" w:type="dxa"/>
            <w:tcBorders>
              <w:top w:val="single" w:sz="4" w:space="0" w:color="808080"/>
              <w:left w:val="single" w:sz="4" w:space="0" w:color="808080"/>
              <w:bottom w:val="single" w:sz="4" w:space="0" w:color="808080"/>
              <w:right w:val="single" w:sz="4" w:space="0" w:color="808080"/>
            </w:tcBorders>
          </w:tcPr>
          <w:p w14:paraId="000000CE"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bl>
    <w:p w14:paraId="000000CF" w14:textId="77777777" w:rsidR="00892BBA" w:rsidRPr="00CC1AAA" w:rsidRDefault="00892BBA">
      <w:pPr>
        <w:rPr>
          <w:rFonts w:ascii="Arial" w:eastAsia="Arial" w:hAnsi="Arial" w:cs="Arial"/>
          <w:b/>
          <w:sz w:val="24"/>
          <w:szCs w:val="24"/>
        </w:rPr>
      </w:pPr>
    </w:p>
    <w:p w14:paraId="000000D0"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Table 4: Lot 4a</w:t>
      </w:r>
    </w:p>
    <w:tbl>
      <w:tblPr>
        <w:tblStyle w:val="a2"/>
        <w:tblW w:w="9015"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4450"/>
        <w:gridCol w:w="4565"/>
      </w:tblGrid>
      <w:tr w:rsidR="00892BBA" w:rsidRPr="00CC1AAA" w14:paraId="23BCFC9E" w14:textId="77777777">
        <w:tc>
          <w:tcPr>
            <w:tcW w:w="4450" w:type="dxa"/>
            <w:tcBorders>
              <w:top w:val="single" w:sz="4" w:space="0" w:color="808080"/>
              <w:left w:val="single" w:sz="4" w:space="0" w:color="808080"/>
              <w:bottom w:val="single" w:sz="4" w:space="0" w:color="808080"/>
              <w:right w:val="single" w:sz="4" w:space="0" w:color="808080"/>
            </w:tcBorders>
            <w:shd w:val="clear" w:color="auto" w:fill="BFBFBF"/>
          </w:tcPr>
          <w:p w14:paraId="000000D1"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Staff Grade</w:t>
            </w:r>
          </w:p>
        </w:tc>
        <w:tc>
          <w:tcPr>
            <w:tcW w:w="4565" w:type="dxa"/>
            <w:tcBorders>
              <w:top w:val="single" w:sz="4" w:space="0" w:color="808080"/>
              <w:left w:val="single" w:sz="4" w:space="0" w:color="808080"/>
              <w:bottom w:val="single" w:sz="4" w:space="0" w:color="808080"/>
              <w:right w:val="single" w:sz="4" w:space="0" w:color="808080"/>
            </w:tcBorders>
            <w:shd w:val="clear" w:color="auto" w:fill="BFBFBF"/>
          </w:tcPr>
          <w:p w14:paraId="000000D2"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Hourly Rate (£)</w:t>
            </w:r>
          </w:p>
        </w:tc>
      </w:tr>
      <w:tr w:rsidR="00892BBA" w:rsidRPr="00CC1AAA" w14:paraId="243408C0" w14:textId="77777777">
        <w:tc>
          <w:tcPr>
            <w:tcW w:w="4450" w:type="dxa"/>
            <w:tcBorders>
              <w:top w:val="single" w:sz="4" w:space="0" w:color="808080"/>
              <w:left w:val="single" w:sz="4" w:space="0" w:color="808080"/>
              <w:bottom w:val="single" w:sz="4" w:space="0" w:color="808080"/>
              <w:right w:val="single" w:sz="4" w:space="0" w:color="808080"/>
            </w:tcBorders>
          </w:tcPr>
          <w:p w14:paraId="000000D3"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Senior Counsel/Senior Partner</w:t>
            </w:r>
          </w:p>
        </w:tc>
        <w:tc>
          <w:tcPr>
            <w:tcW w:w="4565" w:type="dxa"/>
            <w:tcBorders>
              <w:top w:val="single" w:sz="4" w:space="0" w:color="808080"/>
              <w:left w:val="single" w:sz="4" w:space="0" w:color="808080"/>
              <w:bottom w:val="single" w:sz="4" w:space="0" w:color="808080"/>
              <w:right w:val="single" w:sz="4" w:space="0" w:color="808080"/>
            </w:tcBorders>
          </w:tcPr>
          <w:p w14:paraId="000000D4"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7B406EEF" w14:textId="77777777">
        <w:tc>
          <w:tcPr>
            <w:tcW w:w="4450" w:type="dxa"/>
            <w:tcBorders>
              <w:top w:val="single" w:sz="4" w:space="0" w:color="808080"/>
              <w:left w:val="single" w:sz="4" w:space="0" w:color="808080"/>
              <w:bottom w:val="single" w:sz="4" w:space="0" w:color="808080"/>
              <w:right w:val="single" w:sz="4" w:space="0" w:color="808080"/>
            </w:tcBorders>
          </w:tcPr>
          <w:p w14:paraId="000000D5"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Partner</w:t>
            </w:r>
          </w:p>
        </w:tc>
        <w:tc>
          <w:tcPr>
            <w:tcW w:w="4565" w:type="dxa"/>
            <w:tcBorders>
              <w:top w:val="single" w:sz="4" w:space="0" w:color="808080"/>
              <w:left w:val="single" w:sz="4" w:space="0" w:color="808080"/>
              <w:bottom w:val="single" w:sz="4" w:space="0" w:color="808080"/>
              <w:right w:val="single" w:sz="4" w:space="0" w:color="808080"/>
            </w:tcBorders>
          </w:tcPr>
          <w:p w14:paraId="000000D6"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71ECC813" w14:textId="77777777">
        <w:tc>
          <w:tcPr>
            <w:tcW w:w="4450" w:type="dxa"/>
            <w:tcBorders>
              <w:top w:val="single" w:sz="4" w:space="0" w:color="808080"/>
              <w:left w:val="single" w:sz="4" w:space="0" w:color="808080"/>
              <w:bottom w:val="single" w:sz="4" w:space="0" w:color="808080"/>
              <w:right w:val="single" w:sz="4" w:space="0" w:color="808080"/>
            </w:tcBorders>
          </w:tcPr>
          <w:p w14:paraId="000000D7"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Legal Director/Counsel or equivalent</w:t>
            </w:r>
          </w:p>
        </w:tc>
        <w:tc>
          <w:tcPr>
            <w:tcW w:w="4565" w:type="dxa"/>
            <w:tcBorders>
              <w:top w:val="single" w:sz="4" w:space="0" w:color="808080"/>
              <w:left w:val="single" w:sz="4" w:space="0" w:color="808080"/>
              <w:bottom w:val="single" w:sz="4" w:space="0" w:color="808080"/>
              <w:right w:val="single" w:sz="4" w:space="0" w:color="808080"/>
            </w:tcBorders>
          </w:tcPr>
          <w:p w14:paraId="000000D8"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23C4677B" w14:textId="77777777">
        <w:tc>
          <w:tcPr>
            <w:tcW w:w="4450" w:type="dxa"/>
            <w:tcBorders>
              <w:top w:val="single" w:sz="4" w:space="0" w:color="808080"/>
              <w:left w:val="single" w:sz="4" w:space="0" w:color="808080"/>
              <w:bottom w:val="single" w:sz="4" w:space="0" w:color="808080"/>
              <w:right w:val="single" w:sz="4" w:space="0" w:color="808080"/>
            </w:tcBorders>
          </w:tcPr>
          <w:p w14:paraId="000000D9"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Senior Solicitor/Senior Associate/Senior Legal Executive</w:t>
            </w:r>
          </w:p>
        </w:tc>
        <w:tc>
          <w:tcPr>
            <w:tcW w:w="4565" w:type="dxa"/>
            <w:tcBorders>
              <w:top w:val="single" w:sz="4" w:space="0" w:color="808080"/>
              <w:left w:val="single" w:sz="4" w:space="0" w:color="808080"/>
              <w:bottom w:val="single" w:sz="4" w:space="0" w:color="808080"/>
              <w:right w:val="single" w:sz="4" w:space="0" w:color="808080"/>
            </w:tcBorders>
          </w:tcPr>
          <w:p w14:paraId="000000DA"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40C2A6C9" w14:textId="77777777">
        <w:tc>
          <w:tcPr>
            <w:tcW w:w="4450" w:type="dxa"/>
            <w:tcBorders>
              <w:top w:val="single" w:sz="4" w:space="0" w:color="808080"/>
              <w:left w:val="single" w:sz="4" w:space="0" w:color="808080"/>
              <w:bottom w:val="single" w:sz="4" w:space="0" w:color="808080"/>
              <w:right w:val="single" w:sz="4" w:space="0" w:color="808080"/>
            </w:tcBorders>
          </w:tcPr>
          <w:p w14:paraId="000000DB"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Solicitor/Associate/Legal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0DC"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06854357" w14:textId="77777777">
        <w:tc>
          <w:tcPr>
            <w:tcW w:w="4450" w:type="dxa"/>
            <w:tcBorders>
              <w:top w:val="single" w:sz="4" w:space="0" w:color="808080"/>
              <w:left w:val="single" w:sz="4" w:space="0" w:color="808080"/>
              <w:bottom w:val="single" w:sz="4" w:space="0" w:color="808080"/>
              <w:right w:val="single" w:sz="4" w:space="0" w:color="808080"/>
            </w:tcBorders>
          </w:tcPr>
          <w:p w14:paraId="000000DD"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NQ Solicitor/Associate/Junior Solicitor/ 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0DE"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41751DAC" w14:textId="77777777">
        <w:tc>
          <w:tcPr>
            <w:tcW w:w="4450" w:type="dxa"/>
            <w:tcBorders>
              <w:top w:val="single" w:sz="4" w:space="0" w:color="808080"/>
              <w:left w:val="single" w:sz="4" w:space="0" w:color="808080"/>
              <w:bottom w:val="single" w:sz="4" w:space="0" w:color="808080"/>
              <w:right w:val="single" w:sz="4" w:space="0" w:color="808080"/>
            </w:tcBorders>
          </w:tcPr>
          <w:p w14:paraId="000000DF"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Trainee/Legal Apprentice</w:t>
            </w:r>
          </w:p>
        </w:tc>
        <w:tc>
          <w:tcPr>
            <w:tcW w:w="4565" w:type="dxa"/>
            <w:tcBorders>
              <w:top w:val="single" w:sz="4" w:space="0" w:color="808080"/>
              <w:left w:val="single" w:sz="4" w:space="0" w:color="808080"/>
              <w:bottom w:val="single" w:sz="4" w:space="0" w:color="808080"/>
              <w:right w:val="single" w:sz="4" w:space="0" w:color="808080"/>
            </w:tcBorders>
          </w:tcPr>
          <w:p w14:paraId="000000E0"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45002ABF" w14:textId="77777777">
        <w:tc>
          <w:tcPr>
            <w:tcW w:w="4450" w:type="dxa"/>
            <w:tcBorders>
              <w:top w:val="single" w:sz="4" w:space="0" w:color="808080"/>
              <w:left w:val="single" w:sz="4" w:space="0" w:color="808080"/>
              <w:bottom w:val="single" w:sz="4" w:space="0" w:color="808080"/>
              <w:right w:val="single" w:sz="4" w:space="0" w:color="808080"/>
            </w:tcBorders>
          </w:tcPr>
          <w:p w14:paraId="000000E1"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Paralegal/Legal Assistant</w:t>
            </w:r>
          </w:p>
        </w:tc>
        <w:tc>
          <w:tcPr>
            <w:tcW w:w="4565" w:type="dxa"/>
            <w:tcBorders>
              <w:top w:val="single" w:sz="4" w:space="0" w:color="808080"/>
              <w:left w:val="single" w:sz="4" w:space="0" w:color="808080"/>
              <w:bottom w:val="single" w:sz="4" w:space="0" w:color="808080"/>
              <w:right w:val="single" w:sz="4" w:space="0" w:color="808080"/>
            </w:tcBorders>
          </w:tcPr>
          <w:p w14:paraId="000000E2"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3274C45E" w14:textId="77777777">
        <w:tc>
          <w:tcPr>
            <w:tcW w:w="4450" w:type="dxa"/>
            <w:tcBorders>
              <w:top w:val="single" w:sz="4" w:space="0" w:color="808080"/>
              <w:left w:val="single" w:sz="4" w:space="0" w:color="808080"/>
              <w:bottom w:val="single" w:sz="4" w:space="0" w:color="808080"/>
              <w:right w:val="single" w:sz="4" w:space="0" w:color="808080"/>
            </w:tcBorders>
          </w:tcPr>
          <w:p w14:paraId="000000E3"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 xml:space="preserve">Legal Project Manager </w:t>
            </w:r>
          </w:p>
        </w:tc>
        <w:tc>
          <w:tcPr>
            <w:tcW w:w="4565" w:type="dxa"/>
            <w:tcBorders>
              <w:top w:val="single" w:sz="4" w:space="0" w:color="808080"/>
              <w:left w:val="single" w:sz="4" w:space="0" w:color="808080"/>
              <w:bottom w:val="single" w:sz="4" w:space="0" w:color="808080"/>
              <w:right w:val="single" w:sz="4" w:space="0" w:color="808080"/>
            </w:tcBorders>
          </w:tcPr>
          <w:p w14:paraId="000000E4"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449E21F7" w14:textId="77777777">
        <w:tc>
          <w:tcPr>
            <w:tcW w:w="4450" w:type="dxa"/>
            <w:tcBorders>
              <w:top w:val="single" w:sz="4" w:space="0" w:color="808080"/>
              <w:left w:val="single" w:sz="4" w:space="0" w:color="808080"/>
              <w:bottom w:val="single" w:sz="4" w:space="0" w:color="808080"/>
              <w:right w:val="single" w:sz="4" w:space="0" w:color="808080"/>
            </w:tcBorders>
          </w:tcPr>
          <w:p w14:paraId="000000E5"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 xml:space="preserve">Senior Analyst </w:t>
            </w:r>
          </w:p>
        </w:tc>
        <w:tc>
          <w:tcPr>
            <w:tcW w:w="4565" w:type="dxa"/>
            <w:tcBorders>
              <w:top w:val="single" w:sz="4" w:space="0" w:color="808080"/>
              <w:left w:val="single" w:sz="4" w:space="0" w:color="808080"/>
              <w:bottom w:val="single" w:sz="4" w:space="0" w:color="808080"/>
              <w:right w:val="single" w:sz="4" w:space="0" w:color="808080"/>
            </w:tcBorders>
          </w:tcPr>
          <w:p w14:paraId="000000E6"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0189D614" w14:textId="77777777">
        <w:tc>
          <w:tcPr>
            <w:tcW w:w="4450" w:type="dxa"/>
            <w:tcBorders>
              <w:top w:val="single" w:sz="4" w:space="0" w:color="808080"/>
              <w:left w:val="single" w:sz="4" w:space="0" w:color="808080"/>
              <w:bottom w:val="single" w:sz="4" w:space="0" w:color="808080"/>
              <w:right w:val="single" w:sz="4" w:space="0" w:color="808080"/>
            </w:tcBorders>
          </w:tcPr>
          <w:p w14:paraId="000000E7"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lastRenderedPageBreak/>
              <w:t>Analyst</w:t>
            </w:r>
          </w:p>
        </w:tc>
        <w:tc>
          <w:tcPr>
            <w:tcW w:w="4565" w:type="dxa"/>
            <w:tcBorders>
              <w:top w:val="single" w:sz="4" w:space="0" w:color="808080"/>
              <w:left w:val="single" w:sz="4" w:space="0" w:color="808080"/>
              <w:bottom w:val="single" w:sz="4" w:space="0" w:color="808080"/>
              <w:right w:val="single" w:sz="4" w:space="0" w:color="808080"/>
            </w:tcBorders>
          </w:tcPr>
          <w:p w14:paraId="000000E8"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1FE66C79" w14:textId="77777777">
        <w:tc>
          <w:tcPr>
            <w:tcW w:w="4450" w:type="dxa"/>
            <w:tcBorders>
              <w:top w:val="single" w:sz="4" w:space="0" w:color="808080"/>
              <w:left w:val="single" w:sz="4" w:space="0" w:color="808080"/>
              <w:bottom w:val="single" w:sz="4" w:space="0" w:color="808080"/>
              <w:right w:val="single" w:sz="4" w:space="0" w:color="808080"/>
            </w:tcBorders>
          </w:tcPr>
          <w:p w14:paraId="000000E9"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 xml:space="preserve">Senior Modeller </w:t>
            </w:r>
          </w:p>
        </w:tc>
        <w:tc>
          <w:tcPr>
            <w:tcW w:w="4565" w:type="dxa"/>
            <w:tcBorders>
              <w:top w:val="single" w:sz="4" w:space="0" w:color="808080"/>
              <w:left w:val="single" w:sz="4" w:space="0" w:color="808080"/>
              <w:bottom w:val="single" w:sz="4" w:space="0" w:color="808080"/>
              <w:right w:val="single" w:sz="4" w:space="0" w:color="808080"/>
            </w:tcBorders>
          </w:tcPr>
          <w:p w14:paraId="000000EA"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5DC2211" w14:textId="77777777">
        <w:tc>
          <w:tcPr>
            <w:tcW w:w="4450" w:type="dxa"/>
            <w:tcBorders>
              <w:top w:val="single" w:sz="4" w:space="0" w:color="808080"/>
              <w:left w:val="single" w:sz="4" w:space="0" w:color="808080"/>
              <w:bottom w:val="single" w:sz="4" w:space="0" w:color="808080"/>
              <w:right w:val="single" w:sz="4" w:space="0" w:color="808080"/>
            </w:tcBorders>
          </w:tcPr>
          <w:p w14:paraId="000000EB"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Modeller</w:t>
            </w:r>
          </w:p>
        </w:tc>
        <w:tc>
          <w:tcPr>
            <w:tcW w:w="4565" w:type="dxa"/>
            <w:tcBorders>
              <w:top w:val="single" w:sz="4" w:space="0" w:color="808080"/>
              <w:left w:val="single" w:sz="4" w:space="0" w:color="808080"/>
              <w:bottom w:val="single" w:sz="4" w:space="0" w:color="808080"/>
              <w:right w:val="single" w:sz="4" w:space="0" w:color="808080"/>
            </w:tcBorders>
          </w:tcPr>
          <w:p w14:paraId="000000EC"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bl>
    <w:p w14:paraId="000000ED" w14:textId="77777777" w:rsidR="00892BBA" w:rsidRPr="00CC1AAA" w:rsidRDefault="00892BBA">
      <w:pPr>
        <w:rPr>
          <w:rFonts w:ascii="Arial" w:eastAsia="Arial" w:hAnsi="Arial" w:cs="Arial"/>
          <w:b/>
          <w:sz w:val="24"/>
          <w:szCs w:val="24"/>
        </w:rPr>
      </w:pPr>
    </w:p>
    <w:p w14:paraId="000000EE"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Table 5: Lot 4b</w:t>
      </w:r>
    </w:p>
    <w:tbl>
      <w:tblPr>
        <w:tblStyle w:val="a3"/>
        <w:tblW w:w="9015"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4450"/>
        <w:gridCol w:w="4565"/>
      </w:tblGrid>
      <w:tr w:rsidR="00892BBA" w:rsidRPr="00CC1AAA" w14:paraId="4913CFC9" w14:textId="77777777">
        <w:tc>
          <w:tcPr>
            <w:tcW w:w="4450" w:type="dxa"/>
            <w:tcBorders>
              <w:top w:val="single" w:sz="4" w:space="0" w:color="808080"/>
              <w:left w:val="single" w:sz="4" w:space="0" w:color="808080"/>
              <w:bottom w:val="single" w:sz="4" w:space="0" w:color="808080"/>
              <w:right w:val="single" w:sz="4" w:space="0" w:color="808080"/>
            </w:tcBorders>
            <w:shd w:val="clear" w:color="auto" w:fill="BFBFBF"/>
          </w:tcPr>
          <w:p w14:paraId="000000EF"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Staff Grade</w:t>
            </w:r>
          </w:p>
        </w:tc>
        <w:tc>
          <w:tcPr>
            <w:tcW w:w="4565" w:type="dxa"/>
            <w:tcBorders>
              <w:top w:val="single" w:sz="4" w:space="0" w:color="808080"/>
              <w:left w:val="single" w:sz="4" w:space="0" w:color="808080"/>
              <w:bottom w:val="single" w:sz="4" w:space="0" w:color="808080"/>
              <w:right w:val="single" w:sz="4" w:space="0" w:color="808080"/>
            </w:tcBorders>
            <w:shd w:val="clear" w:color="auto" w:fill="BFBFBF"/>
          </w:tcPr>
          <w:p w14:paraId="000000F0"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Hourly Rate (£)</w:t>
            </w:r>
          </w:p>
        </w:tc>
      </w:tr>
      <w:tr w:rsidR="00892BBA" w:rsidRPr="00CC1AAA" w14:paraId="18173FDE" w14:textId="77777777">
        <w:tc>
          <w:tcPr>
            <w:tcW w:w="4450" w:type="dxa"/>
            <w:tcBorders>
              <w:top w:val="single" w:sz="4" w:space="0" w:color="808080"/>
              <w:left w:val="single" w:sz="4" w:space="0" w:color="808080"/>
              <w:bottom w:val="single" w:sz="4" w:space="0" w:color="808080"/>
              <w:right w:val="single" w:sz="4" w:space="0" w:color="808080"/>
            </w:tcBorders>
          </w:tcPr>
          <w:p w14:paraId="000000F1"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Senior Counsel/Senior Partner</w:t>
            </w:r>
          </w:p>
        </w:tc>
        <w:tc>
          <w:tcPr>
            <w:tcW w:w="4565" w:type="dxa"/>
            <w:tcBorders>
              <w:top w:val="single" w:sz="4" w:space="0" w:color="808080"/>
              <w:left w:val="single" w:sz="4" w:space="0" w:color="808080"/>
              <w:bottom w:val="single" w:sz="4" w:space="0" w:color="808080"/>
              <w:right w:val="single" w:sz="4" w:space="0" w:color="808080"/>
            </w:tcBorders>
          </w:tcPr>
          <w:p w14:paraId="000000F2"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4EF9E610" w14:textId="77777777">
        <w:tc>
          <w:tcPr>
            <w:tcW w:w="4450" w:type="dxa"/>
            <w:tcBorders>
              <w:top w:val="single" w:sz="4" w:space="0" w:color="808080"/>
              <w:left w:val="single" w:sz="4" w:space="0" w:color="808080"/>
              <w:bottom w:val="single" w:sz="4" w:space="0" w:color="808080"/>
              <w:right w:val="single" w:sz="4" w:space="0" w:color="808080"/>
            </w:tcBorders>
          </w:tcPr>
          <w:p w14:paraId="000000F3"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Partner</w:t>
            </w:r>
          </w:p>
        </w:tc>
        <w:tc>
          <w:tcPr>
            <w:tcW w:w="4565" w:type="dxa"/>
            <w:tcBorders>
              <w:top w:val="single" w:sz="4" w:space="0" w:color="808080"/>
              <w:left w:val="single" w:sz="4" w:space="0" w:color="808080"/>
              <w:bottom w:val="single" w:sz="4" w:space="0" w:color="808080"/>
              <w:right w:val="single" w:sz="4" w:space="0" w:color="808080"/>
            </w:tcBorders>
          </w:tcPr>
          <w:p w14:paraId="000000F4"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3FBD96A" w14:textId="77777777">
        <w:tc>
          <w:tcPr>
            <w:tcW w:w="4450" w:type="dxa"/>
            <w:tcBorders>
              <w:top w:val="single" w:sz="4" w:space="0" w:color="808080"/>
              <w:left w:val="single" w:sz="4" w:space="0" w:color="808080"/>
              <w:bottom w:val="single" w:sz="4" w:space="0" w:color="808080"/>
              <w:right w:val="single" w:sz="4" w:space="0" w:color="808080"/>
            </w:tcBorders>
          </w:tcPr>
          <w:p w14:paraId="000000F5"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Legal Director/Counsel or equivalent</w:t>
            </w:r>
          </w:p>
        </w:tc>
        <w:tc>
          <w:tcPr>
            <w:tcW w:w="4565" w:type="dxa"/>
            <w:tcBorders>
              <w:top w:val="single" w:sz="4" w:space="0" w:color="808080"/>
              <w:left w:val="single" w:sz="4" w:space="0" w:color="808080"/>
              <w:bottom w:val="single" w:sz="4" w:space="0" w:color="808080"/>
              <w:right w:val="single" w:sz="4" w:space="0" w:color="808080"/>
            </w:tcBorders>
          </w:tcPr>
          <w:p w14:paraId="000000F6"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4FD09D09" w14:textId="77777777">
        <w:tc>
          <w:tcPr>
            <w:tcW w:w="4450" w:type="dxa"/>
            <w:tcBorders>
              <w:top w:val="single" w:sz="4" w:space="0" w:color="808080"/>
              <w:left w:val="single" w:sz="4" w:space="0" w:color="808080"/>
              <w:bottom w:val="single" w:sz="4" w:space="0" w:color="808080"/>
              <w:right w:val="single" w:sz="4" w:space="0" w:color="808080"/>
            </w:tcBorders>
          </w:tcPr>
          <w:p w14:paraId="000000F7"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Senior Solicitor/Senior Associate/Senior Legal Executive</w:t>
            </w:r>
          </w:p>
        </w:tc>
        <w:tc>
          <w:tcPr>
            <w:tcW w:w="4565" w:type="dxa"/>
            <w:tcBorders>
              <w:top w:val="single" w:sz="4" w:space="0" w:color="808080"/>
              <w:left w:val="single" w:sz="4" w:space="0" w:color="808080"/>
              <w:bottom w:val="single" w:sz="4" w:space="0" w:color="808080"/>
              <w:right w:val="single" w:sz="4" w:space="0" w:color="808080"/>
            </w:tcBorders>
          </w:tcPr>
          <w:p w14:paraId="000000F8"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112540D5" w14:textId="77777777">
        <w:tc>
          <w:tcPr>
            <w:tcW w:w="4450" w:type="dxa"/>
            <w:tcBorders>
              <w:top w:val="single" w:sz="4" w:space="0" w:color="808080"/>
              <w:left w:val="single" w:sz="4" w:space="0" w:color="808080"/>
              <w:bottom w:val="single" w:sz="4" w:space="0" w:color="808080"/>
              <w:right w:val="single" w:sz="4" w:space="0" w:color="808080"/>
            </w:tcBorders>
          </w:tcPr>
          <w:p w14:paraId="000000F9"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Solicitor/Associate/Legal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0FA"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5D34E7B2" w14:textId="77777777">
        <w:tc>
          <w:tcPr>
            <w:tcW w:w="4450" w:type="dxa"/>
            <w:tcBorders>
              <w:top w:val="single" w:sz="4" w:space="0" w:color="808080"/>
              <w:left w:val="single" w:sz="4" w:space="0" w:color="808080"/>
              <w:bottom w:val="single" w:sz="4" w:space="0" w:color="808080"/>
              <w:right w:val="single" w:sz="4" w:space="0" w:color="808080"/>
            </w:tcBorders>
          </w:tcPr>
          <w:p w14:paraId="000000FB"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NQ Solicitor/Associate/Junior Solicitor/ 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0FC"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51A979F8" w14:textId="77777777">
        <w:tc>
          <w:tcPr>
            <w:tcW w:w="4450" w:type="dxa"/>
            <w:tcBorders>
              <w:top w:val="single" w:sz="4" w:space="0" w:color="808080"/>
              <w:left w:val="single" w:sz="4" w:space="0" w:color="808080"/>
              <w:bottom w:val="single" w:sz="4" w:space="0" w:color="808080"/>
              <w:right w:val="single" w:sz="4" w:space="0" w:color="808080"/>
            </w:tcBorders>
          </w:tcPr>
          <w:p w14:paraId="000000FD"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Trainee/Legal Apprentice</w:t>
            </w:r>
          </w:p>
        </w:tc>
        <w:tc>
          <w:tcPr>
            <w:tcW w:w="4565" w:type="dxa"/>
            <w:tcBorders>
              <w:top w:val="single" w:sz="4" w:space="0" w:color="808080"/>
              <w:left w:val="single" w:sz="4" w:space="0" w:color="808080"/>
              <w:bottom w:val="single" w:sz="4" w:space="0" w:color="808080"/>
              <w:right w:val="single" w:sz="4" w:space="0" w:color="808080"/>
            </w:tcBorders>
          </w:tcPr>
          <w:p w14:paraId="000000FE"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DB904EB" w14:textId="77777777">
        <w:tc>
          <w:tcPr>
            <w:tcW w:w="4450" w:type="dxa"/>
            <w:tcBorders>
              <w:top w:val="single" w:sz="4" w:space="0" w:color="808080"/>
              <w:left w:val="single" w:sz="4" w:space="0" w:color="808080"/>
              <w:bottom w:val="single" w:sz="4" w:space="0" w:color="808080"/>
              <w:right w:val="single" w:sz="4" w:space="0" w:color="808080"/>
            </w:tcBorders>
          </w:tcPr>
          <w:p w14:paraId="000000FF"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Paralegal/Legal Assistant</w:t>
            </w:r>
          </w:p>
        </w:tc>
        <w:tc>
          <w:tcPr>
            <w:tcW w:w="4565" w:type="dxa"/>
            <w:tcBorders>
              <w:top w:val="single" w:sz="4" w:space="0" w:color="808080"/>
              <w:left w:val="single" w:sz="4" w:space="0" w:color="808080"/>
              <w:bottom w:val="single" w:sz="4" w:space="0" w:color="808080"/>
              <w:right w:val="single" w:sz="4" w:space="0" w:color="808080"/>
            </w:tcBorders>
          </w:tcPr>
          <w:p w14:paraId="00000100"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DFEA5CD" w14:textId="77777777">
        <w:tc>
          <w:tcPr>
            <w:tcW w:w="4450" w:type="dxa"/>
            <w:tcBorders>
              <w:top w:val="single" w:sz="4" w:space="0" w:color="808080"/>
              <w:left w:val="single" w:sz="4" w:space="0" w:color="808080"/>
              <w:bottom w:val="single" w:sz="4" w:space="0" w:color="808080"/>
              <w:right w:val="single" w:sz="4" w:space="0" w:color="808080"/>
            </w:tcBorders>
          </w:tcPr>
          <w:p w14:paraId="00000101"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 xml:space="preserve">Legal Project Manager </w:t>
            </w:r>
          </w:p>
        </w:tc>
        <w:tc>
          <w:tcPr>
            <w:tcW w:w="4565" w:type="dxa"/>
            <w:tcBorders>
              <w:top w:val="single" w:sz="4" w:space="0" w:color="808080"/>
              <w:left w:val="single" w:sz="4" w:space="0" w:color="808080"/>
              <w:bottom w:val="single" w:sz="4" w:space="0" w:color="808080"/>
              <w:right w:val="single" w:sz="4" w:space="0" w:color="808080"/>
            </w:tcBorders>
          </w:tcPr>
          <w:p w14:paraId="00000102"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5D2BA22E" w14:textId="77777777">
        <w:tc>
          <w:tcPr>
            <w:tcW w:w="4450" w:type="dxa"/>
            <w:tcBorders>
              <w:top w:val="single" w:sz="4" w:space="0" w:color="808080"/>
              <w:left w:val="single" w:sz="4" w:space="0" w:color="808080"/>
              <w:bottom w:val="single" w:sz="4" w:space="0" w:color="808080"/>
              <w:right w:val="single" w:sz="4" w:space="0" w:color="808080"/>
            </w:tcBorders>
          </w:tcPr>
          <w:p w14:paraId="00000103"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 xml:space="preserve">Senior Analyst </w:t>
            </w:r>
          </w:p>
        </w:tc>
        <w:tc>
          <w:tcPr>
            <w:tcW w:w="4565" w:type="dxa"/>
            <w:tcBorders>
              <w:top w:val="single" w:sz="4" w:space="0" w:color="808080"/>
              <w:left w:val="single" w:sz="4" w:space="0" w:color="808080"/>
              <w:bottom w:val="single" w:sz="4" w:space="0" w:color="808080"/>
              <w:right w:val="single" w:sz="4" w:space="0" w:color="808080"/>
            </w:tcBorders>
          </w:tcPr>
          <w:p w14:paraId="00000104"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DF9B086" w14:textId="77777777">
        <w:tc>
          <w:tcPr>
            <w:tcW w:w="4450" w:type="dxa"/>
            <w:tcBorders>
              <w:top w:val="single" w:sz="4" w:space="0" w:color="808080"/>
              <w:left w:val="single" w:sz="4" w:space="0" w:color="808080"/>
              <w:bottom w:val="single" w:sz="4" w:space="0" w:color="808080"/>
              <w:right w:val="single" w:sz="4" w:space="0" w:color="808080"/>
            </w:tcBorders>
          </w:tcPr>
          <w:p w14:paraId="00000105"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Analyst</w:t>
            </w:r>
          </w:p>
        </w:tc>
        <w:tc>
          <w:tcPr>
            <w:tcW w:w="4565" w:type="dxa"/>
            <w:tcBorders>
              <w:top w:val="single" w:sz="4" w:space="0" w:color="808080"/>
              <w:left w:val="single" w:sz="4" w:space="0" w:color="808080"/>
              <w:bottom w:val="single" w:sz="4" w:space="0" w:color="808080"/>
              <w:right w:val="single" w:sz="4" w:space="0" w:color="808080"/>
            </w:tcBorders>
          </w:tcPr>
          <w:p w14:paraId="00000106"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1EF60183" w14:textId="77777777">
        <w:tc>
          <w:tcPr>
            <w:tcW w:w="4450" w:type="dxa"/>
            <w:tcBorders>
              <w:top w:val="single" w:sz="4" w:space="0" w:color="808080"/>
              <w:left w:val="single" w:sz="4" w:space="0" w:color="808080"/>
              <w:bottom w:val="single" w:sz="4" w:space="0" w:color="808080"/>
              <w:right w:val="single" w:sz="4" w:space="0" w:color="808080"/>
            </w:tcBorders>
          </w:tcPr>
          <w:p w14:paraId="00000107"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 xml:space="preserve">Senior Modeller </w:t>
            </w:r>
          </w:p>
        </w:tc>
        <w:tc>
          <w:tcPr>
            <w:tcW w:w="4565" w:type="dxa"/>
            <w:tcBorders>
              <w:top w:val="single" w:sz="4" w:space="0" w:color="808080"/>
              <w:left w:val="single" w:sz="4" w:space="0" w:color="808080"/>
              <w:bottom w:val="single" w:sz="4" w:space="0" w:color="808080"/>
              <w:right w:val="single" w:sz="4" w:space="0" w:color="808080"/>
            </w:tcBorders>
          </w:tcPr>
          <w:p w14:paraId="00000108"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5EA4C9BE" w14:textId="77777777">
        <w:tc>
          <w:tcPr>
            <w:tcW w:w="4450" w:type="dxa"/>
            <w:tcBorders>
              <w:top w:val="single" w:sz="4" w:space="0" w:color="808080"/>
              <w:left w:val="single" w:sz="4" w:space="0" w:color="808080"/>
              <w:bottom w:val="single" w:sz="4" w:space="0" w:color="808080"/>
              <w:right w:val="single" w:sz="4" w:space="0" w:color="808080"/>
            </w:tcBorders>
          </w:tcPr>
          <w:p w14:paraId="00000109"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Modeller</w:t>
            </w:r>
          </w:p>
        </w:tc>
        <w:tc>
          <w:tcPr>
            <w:tcW w:w="4565" w:type="dxa"/>
            <w:tcBorders>
              <w:top w:val="single" w:sz="4" w:space="0" w:color="808080"/>
              <w:left w:val="single" w:sz="4" w:space="0" w:color="808080"/>
              <w:bottom w:val="single" w:sz="4" w:space="0" w:color="808080"/>
              <w:right w:val="single" w:sz="4" w:space="0" w:color="808080"/>
            </w:tcBorders>
          </w:tcPr>
          <w:p w14:paraId="0000010A"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bl>
    <w:p w14:paraId="0000010B" w14:textId="77777777" w:rsidR="00892BBA" w:rsidRPr="00CC1AAA" w:rsidRDefault="00892BBA">
      <w:pPr>
        <w:rPr>
          <w:rFonts w:ascii="Arial" w:eastAsia="Arial" w:hAnsi="Arial" w:cs="Arial"/>
          <w:b/>
          <w:sz w:val="24"/>
          <w:szCs w:val="24"/>
        </w:rPr>
      </w:pPr>
    </w:p>
    <w:p w14:paraId="0000010C"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Table 6: Lot 4c</w:t>
      </w:r>
    </w:p>
    <w:tbl>
      <w:tblPr>
        <w:tblStyle w:val="a4"/>
        <w:tblW w:w="9015"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4450"/>
        <w:gridCol w:w="4565"/>
      </w:tblGrid>
      <w:tr w:rsidR="00892BBA" w:rsidRPr="00CC1AAA" w14:paraId="72DC5EFA" w14:textId="77777777">
        <w:tc>
          <w:tcPr>
            <w:tcW w:w="4450" w:type="dxa"/>
            <w:tcBorders>
              <w:top w:val="single" w:sz="4" w:space="0" w:color="808080"/>
              <w:left w:val="single" w:sz="4" w:space="0" w:color="808080"/>
              <w:bottom w:val="single" w:sz="4" w:space="0" w:color="808080"/>
              <w:right w:val="single" w:sz="4" w:space="0" w:color="808080"/>
            </w:tcBorders>
            <w:shd w:val="clear" w:color="auto" w:fill="BFBFBF"/>
          </w:tcPr>
          <w:p w14:paraId="0000010D"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Staff Grade</w:t>
            </w:r>
          </w:p>
        </w:tc>
        <w:tc>
          <w:tcPr>
            <w:tcW w:w="4565" w:type="dxa"/>
            <w:tcBorders>
              <w:top w:val="single" w:sz="4" w:space="0" w:color="808080"/>
              <w:left w:val="single" w:sz="4" w:space="0" w:color="808080"/>
              <w:bottom w:val="single" w:sz="4" w:space="0" w:color="808080"/>
              <w:right w:val="single" w:sz="4" w:space="0" w:color="808080"/>
            </w:tcBorders>
            <w:shd w:val="clear" w:color="auto" w:fill="BFBFBF"/>
          </w:tcPr>
          <w:p w14:paraId="0000010E"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Hourly Rate (£)</w:t>
            </w:r>
          </w:p>
        </w:tc>
      </w:tr>
      <w:tr w:rsidR="00892BBA" w:rsidRPr="00CC1AAA" w14:paraId="0B349EAD" w14:textId="77777777">
        <w:tc>
          <w:tcPr>
            <w:tcW w:w="4450" w:type="dxa"/>
            <w:tcBorders>
              <w:top w:val="single" w:sz="4" w:space="0" w:color="808080"/>
              <w:left w:val="single" w:sz="4" w:space="0" w:color="808080"/>
              <w:bottom w:val="single" w:sz="4" w:space="0" w:color="808080"/>
              <w:right w:val="single" w:sz="4" w:space="0" w:color="808080"/>
            </w:tcBorders>
          </w:tcPr>
          <w:p w14:paraId="0000010F"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Senior Counsel/Senior Partner</w:t>
            </w:r>
          </w:p>
        </w:tc>
        <w:tc>
          <w:tcPr>
            <w:tcW w:w="4565" w:type="dxa"/>
            <w:tcBorders>
              <w:top w:val="single" w:sz="4" w:space="0" w:color="808080"/>
              <w:left w:val="single" w:sz="4" w:space="0" w:color="808080"/>
              <w:bottom w:val="single" w:sz="4" w:space="0" w:color="808080"/>
              <w:right w:val="single" w:sz="4" w:space="0" w:color="808080"/>
            </w:tcBorders>
          </w:tcPr>
          <w:p w14:paraId="00000110"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7CB7FE14" w14:textId="77777777">
        <w:tc>
          <w:tcPr>
            <w:tcW w:w="4450" w:type="dxa"/>
            <w:tcBorders>
              <w:top w:val="single" w:sz="4" w:space="0" w:color="808080"/>
              <w:left w:val="single" w:sz="4" w:space="0" w:color="808080"/>
              <w:bottom w:val="single" w:sz="4" w:space="0" w:color="808080"/>
              <w:right w:val="single" w:sz="4" w:space="0" w:color="808080"/>
            </w:tcBorders>
          </w:tcPr>
          <w:p w14:paraId="00000111"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Partner</w:t>
            </w:r>
          </w:p>
        </w:tc>
        <w:tc>
          <w:tcPr>
            <w:tcW w:w="4565" w:type="dxa"/>
            <w:tcBorders>
              <w:top w:val="single" w:sz="4" w:space="0" w:color="808080"/>
              <w:left w:val="single" w:sz="4" w:space="0" w:color="808080"/>
              <w:bottom w:val="single" w:sz="4" w:space="0" w:color="808080"/>
              <w:right w:val="single" w:sz="4" w:space="0" w:color="808080"/>
            </w:tcBorders>
          </w:tcPr>
          <w:p w14:paraId="00000112"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399B3E0D" w14:textId="77777777">
        <w:tc>
          <w:tcPr>
            <w:tcW w:w="4450" w:type="dxa"/>
            <w:tcBorders>
              <w:top w:val="single" w:sz="4" w:space="0" w:color="808080"/>
              <w:left w:val="single" w:sz="4" w:space="0" w:color="808080"/>
              <w:bottom w:val="single" w:sz="4" w:space="0" w:color="808080"/>
              <w:right w:val="single" w:sz="4" w:space="0" w:color="808080"/>
            </w:tcBorders>
          </w:tcPr>
          <w:p w14:paraId="00000113"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lastRenderedPageBreak/>
              <w:t>Legal Director/Counsel or equivalent</w:t>
            </w:r>
          </w:p>
        </w:tc>
        <w:tc>
          <w:tcPr>
            <w:tcW w:w="4565" w:type="dxa"/>
            <w:tcBorders>
              <w:top w:val="single" w:sz="4" w:space="0" w:color="808080"/>
              <w:left w:val="single" w:sz="4" w:space="0" w:color="808080"/>
              <w:bottom w:val="single" w:sz="4" w:space="0" w:color="808080"/>
              <w:right w:val="single" w:sz="4" w:space="0" w:color="808080"/>
            </w:tcBorders>
          </w:tcPr>
          <w:p w14:paraId="00000114"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13A84B12" w14:textId="77777777">
        <w:tc>
          <w:tcPr>
            <w:tcW w:w="4450" w:type="dxa"/>
            <w:tcBorders>
              <w:top w:val="single" w:sz="4" w:space="0" w:color="808080"/>
              <w:left w:val="single" w:sz="4" w:space="0" w:color="808080"/>
              <w:bottom w:val="single" w:sz="4" w:space="0" w:color="808080"/>
              <w:right w:val="single" w:sz="4" w:space="0" w:color="808080"/>
            </w:tcBorders>
          </w:tcPr>
          <w:p w14:paraId="00000115"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Senior Solicitor/Senior Associate/Senior Legal Executive</w:t>
            </w:r>
          </w:p>
        </w:tc>
        <w:tc>
          <w:tcPr>
            <w:tcW w:w="4565" w:type="dxa"/>
            <w:tcBorders>
              <w:top w:val="single" w:sz="4" w:space="0" w:color="808080"/>
              <w:left w:val="single" w:sz="4" w:space="0" w:color="808080"/>
              <w:bottom w:val="single" w:sz="4" w:space="0" w:color="808080"/>
              <w:right w:val="single" w:sz="4" w:space="0" w:color="808080"/>
            </w:tcBorders>
          </w:tcPr>
          <w:p w14:paraId="00000116"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3A54BCEB" w14:textId="77777777">
        <w:tc>
          <w:tcPr>
            <w:tcW w:w="4450" w:type="dxa"/>
            <w:tcBorders>
              <w:top w:val="single" w:sz="4" w:space="0" w:color="808080"/>
              <w:left w:val="single" w:sz="4" w:space="0" w:color="808080"/>
              <w:bottom w:val="single" w:sz="4" w:space="0" w:color="808080"/>
              <w:right w:val="single" w:sz="4" w:space="0" w:color="808080"/>
            </w:tcBorders>
          </w:tcPr>
          <w:p w14:paraId="00000117"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Solicitor/Associate/Legal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118"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5FE052DE" w14:textId="77777777">
        <w:tc>
          <w:tcPr>
            <w:tcW w:w="4450" w:type="dxa"/>
            <w:tcBorders>
              <w:top w:val="single" w:sz="4" w:space="0" w:color="808080"/>
              <w:left w:val="single" w:sz="4" w:space="0" w:color="808080"/>
              <w:bottom w:val="single" w:sz="4" w:space="0" w:color="808080"/>
              <w:right w:val="single" w:sz="4" w:space="0" w:color="808080"/>
            </w:tcBorders>
          </w:tcPr>
          <w:p w14:paraId="00000119"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NQ Solicitor/Associate/Junior Solicitor/ 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11A"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3BD80423" w14:textId="77777777">
        <w:tc>
          <w:tcPr>
            <w:tcW w:w="4450" w:type="dxa"/>
            <w:tcBorders>
              <w:top w:val="single" w:sz="4" w:space="0" w:color="808080"/>
              <w:left w:val="single" w:sz="4" w:space="0" w:color="808080"/>
              <w:bottom w:val="single" w:sz="4" w:space="0" w:color="808080"/>
              <w:right w:val="single" w:sz="4" w:space="0" w:color="808080"/>
            </w:tcBorders>
          </w:tcPr>
          <w:p w14:paraId="0000011B"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Trainee/Legal Apprentice</w:t>
            </w:r>
          </w:p>
        </w:tc>
        <w:tc>
          <w:tcPr>
            <w:tcW w:w="4565" w:type="dxa"/>
            <w:tcBorders>
              <w:top w:val="single" w:sz="4" w:space="0" w:color="808080"/>
              <w:left w:val="single" w:sz="4" w:space="0" w:color="808080"/>
              <w:bottom w:val="single" w:sz="4" w:space="0" w:color="808080"/>
              <w:right w:val="single" w:sz="4" w:space="0" w:color="808080"/>
            </w:tcBorders>
          </w:tcPr>
          <w:p w14:paraId="0000011C"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923855C" w14:textId="77777777">
        <w:tc>
          <w:tcPr>
            <w:tcW w:w="4450" w:type="dxa"/>
            <w:tcBorders>
              <w:top w:val="single" w:sz="4" w:space="0" w:color="808080"/>
              <w:left w:val="single" w:sz="4" w:space="0" w:color="808080"/>
              <w:bottom w:val="single" w:sz="4" w:space="0" w:color="808080"/>
              <w:right w:val="single" w:sz="4" w:space="0" w:color="808080"/>
            </w:tcBorders>
          </w:tcPr>
          <w:p w14:paraId="0000011D"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Paralegal/Legal Assistant</w:t>
            </w:r>
          </w:p>
        </w:tc>
        <w:tc>
          <w:tcPr>
            <w:tcW w:w="4565" w:type="dxa"/>
            <w:tcBorders>
              <w:top w:val="single" w:sz="4" w:space="0" w:color="808080"/>
              <w:left w:val="single" w:sz="4" w:space="0" w:color="808080"/>
              <w:bottom w:val="single" w:sz="4" w:space="0" w:color="808080"/>
              <w:right w:val="single" w:sz="4" w:space="0" w:color="808080"/>
            </w:tcBorders>
          </w:tcPr>
          <w:p w14:paraId="0000011E"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12C001AD" w14:textId="77777777">
        <w:tc>
          <w:tcPr>
            <w:tcW w:w="4450" w:type="dxa"/>
            <w:tcBorders>
              <w:top w:val="single" w:sz="4" w:space="0" w:color="808080"/>
              <w:left w:val="single" w:sz="4" w:space="0" w:color="808080"/>
              <w:bottom w:val="single" w:sz="4" w:space="0" w:color="808080"/>
              <w:right w:val="single" w:sz="4" w:space="0" w:color="808080"/>
            </w:tcBorders>
          </w:tcPr>
          <w:p w14:paraId="0000011F"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 xml:space="preserve">Legal Project Manager </w:t>
            </w:r>
          </w:p>
        </w:tc>
        <w:tc>
          <w:tcPr>
            <w:tcW w:w="4565" w:type="dxa"/>
            <w:tcBorders>
              <w:top w:val="single" w:sz="4" w:space="0" w:color="808080"/>
              <w:left w:val="single" w:sz="4" w:space="0" w:color="808080"/>
              <w:bottom w:val="single" w:sz="4" w:space="0" w:color="808080"/>
              <w:right w:val="single" w:sz="4" w:space="0" w:color="808080"/>
            </w:tcBorders>
          </w:tcPr>
          <w:p w14:paraId="00000120"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B0D08DC" w14:textId="77777777">
        <w:tc>
          <w:tcPr>
            <w:tcW w:w="4450" w:type="dxa"/>
            <w:tcBorders>
              <w:top w:val="single" w:sz="4" w:space="0" w:color="808080"/>
              <w:left w:val="single" w:sz="4" w:space="0" w:color="808080"/>
              <w:bottom w:val="single" w:sz="4" w:space="0" w:color="808080"/>
              <w:right w:val="single" w:sz="4" w:space="0" w:color="808080"/>
            </w:tcBorders>
          </w:tcPr>
          <w:p w14:paraId="00000121"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 xml:space="preserve">Senior Analyst </w:t>
            </w:r>
          </w:p>
        </w:tc>
        <w:tc>
          <w:tcPr>
            <w:tcW w:w="4565" w:type="dxa"/>
            <w:tcBorders>
              <w:top w:val="single" w:sz="4" w:space="0" w:color="808080"/>
              <w:left w:val="single" w:sz="4" w:space="0" w:color="808080"/>
              <w:bottom w:val="single" w:sz="4" w:space="0" w:color="808080"/>
              <w:right w:val="single" w:sz="4" w:space="0" w:color="808080"/>
            </w:tcBorders>
          </w:tcPr>
          <w:p w14:paraId="00000122"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E19D6E8" w14:textId="77777777">
        <w:tc>
          <w:tcPr>
            <w:tcW w:w="4450" w:type="dxa"/>
            <w:tcBorders>
              <w:top w:val="single" w:sz="4" w:space="0" w:color="808080"/>
              <w:left w:val="single" w:sz="4" w:space="0" w:color="808080"/>
              <w:bottom w:val="single" w:sz="4" w:space="0" w:color="808080"/>
              <w:right w:val="single" w:sz="4" w:space="0" w:color="808080"/>
            </w:tcBorders>
          </w:tcPr>
          <w:p w14:paraId="00000123"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Analyst</w:t>
            </w:r>
          </w:p>
        </w:tc>
        <w:tc>
          <w:tcPr>
            <w:tcW w:w="4565" w:type="dxa"/>
            <w:tcBorders>
              <w:top w:val="single" w:sz="4" w:space="0" w:color="808080"/>
              <w:left w:val="single" w:sz="4" w:space="0" w:color="808080"/>
              <w:bottom w:val="single" w:sz="4" w:space="0" w:color="808080"/>
              <w:right w:val="single" w:sz="4" w:space="0" w:color="808080"/>
            </w:tcBorders>
          </w:tcPr>
          <w:p w14:paraId="00000124"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70566D34" w14:textId="77777777">
        <w:tc>
          <w:tcPr>
            <w:tcW w:w="4450" w:type="dxa"/>
            <w:tcBorders>
              <w:top w:val="single" w:sz="4" w:space="0" w:color="808080"/>
              <w:left w:val="single" w:sz="4" w:space="0" w:color="808080"/>
              <w:bottom w:val="single" w:sz="4" w:space="0" w:color="808080"/>
              <w:right w:val="single" w:sz="4" w:space="0" w:color="808080"/>
            </w:tcBorders>
          </w:tcPr>
          <w:p w14:paraId="00000125"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 xml:space="preserve">Senior Modeller </w:t>
            </w:r>
          </w:p>
        </w:tc>
        <w:tc>
          <w:tcPr>
            <w:tcW w:w="4565" w:type="dxa"/>
            <w:tcBorders>
              <w:top w:val="single" w:sz="4" w:space="0" w:color="808080"/>
              <w:left w:val="single" w:sz="4" w:space="0" w:color="808080"/>
              <w:bottom w:val="single" w:sz="4" w:space="0" w:color="808080"/>
              <w:right w:val="single" w:sz="4" w:space="0" w:color="808080"/>
            </w:tcBorders>
          </w:tcPr>
          <w:p w14:paraId="00000126"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3EA84586" w14:textId="77777777">
        <w:tc>
          <w:tcPr>
            <w:tcW w:w="4450" w:type="dxa"/>
            <w:tcBorders>
              <w:top w:val="single" w:sz="4" w:space="0" w:color="808080"/>
              <w:left w:val="single" w:sz="4" w:space="0" w:color="808080"/>
              <w:bottom w:val="single" w:sz="4" w:space="0" w:color="808080"/>
              <w:right w:val="single" w:sz="4" w:space="0" w:color="808080"/>
            </w:tcBorders>
          </w:tcPr>
          <w:p w14:paraId="00000127"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Modeller</w:t>
            </w:r>
          </w:p>
        </w:tc>
        <w:tc>
          <w:tcPr>
            <w:tcW w:w="4565" w:type="dxa"/>
            <w:tcBorders>
              <w:top w:val="single" w:sz="4" w:space="0" w:color="808080"/>
              <w:left w:val="single" w:sz="4" w:space="0" w:color="808080"/>
              <w:bottom w:val="single" w:sz="4" w:space="0" w:color="808080"/>
              <w:right w:val="single" w:sz="4" w:space="0" w:color="808080"/>
            </w:tcBorders>
          </w:tcPr>
          <w:p w14:paraId="00000128"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bl>
    <w:p w14:paraId="00000129" w14:textId="77777777" w:rsidR="00892BBA" w:rsidRPr="00CC1AAA" w:rsidRDefault="00892BBA">
      <w:pPr>
        <w:rPr>
          <w:rFonts w:ascii="Arial" w:eastAsia="Arial" w:hAnsi="Arial" w:cs="Arial"/>
          <w:b/>
          <w:sz w:val="24"/>
          <w:szCs w:val="24"/>
        </w:rPr>
      </w:pPr>
    </w:p>
    <w:p w14:paraId="0000012B"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Table 7: Lot 5</w:t>
      </w:r>
    </w:p>
    <w:tbl>
      <w:tblPr>
        <w:tblStyle w:val="a5"/>
        <w:tblW w:w="9015"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4450"/>
        <w:gridCol w:w="4565"/>
      </w:tblGrid>
      <w:tr w:rsidR="00892BBA" w:rsidRPr="00CC1AAA" w14:paraId="587FF33B" w14:textId="77777777">
        <w:tc>
          <w:tcPr>
            <w:tcW w:w="4450" w:type="dxa"/>
            <w:tcBorders>
              <w:top w:val="single" w:sz="4" w:space="0" w:color="808080"/>
              <w:left w:val="single" w:sz="4" w:space="0" w:color="808080"/>
              <w:bottom w:val="single" w:sz="4" w:space="0" w:color="808080"/>
              <w:right w:val="single" w:sz="4" w:space="0" w:color="808080"/>
            </w:tcBorders>
            <w:shd w:val="clear" w:color="auto" w:fill="BFBFBF"/>
          </w:tcPr>
          <w:p w14:paraId="0000012C"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Staff Grade</w:t>
            </w:r>
          </w:p>
        </w:tc>
        <w:tc>
          <w:tcPr>
            <w:tcW w:w="4565" w:type="dxa"/>
            <w:tcBorders>
              <w:top w:val="single" w:sz="4" w:space="0" w:color="808080"/>
              <w:left w:val="single" w:sz="4" w:space="0" w:color="808080"/>
              <w:bottom w:val="single" w:sz="4" w:space="0" w:color="808080"/>
              <w:right w:val="single" w:sz="4" w:space="0" w:color="808080"/>
            </w:tcBorders>
            <w:shd w:val="clear" w:color="auto" w:fill="BFBFBF"/>
          </w:tcPr>
          <w:p w14:paraId="0000012D"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Hourly Rate (£)</w:t>
            </w:r>
          </w:p>
        </w:tc>
      </w:tr>
      <w:tr w:rsidR="00892BBA" w:rsidRPr="00CC1AAA" w14:paraId="3FA2F833" w14:textId="77777777">
        <w:tc>
          <w:tcPr>
            <w:tcW w:w="4450" w:type="dxa"/>
            <w:tcBorders>
              <w:top w:val="single" w:sz="4" w:space="0" w:color="808080"/>
              <w:left w:val="single" w:sz="4" w:space="0" w:color="808080"/>
              <w:bottom w:val="single" w:sz="4" w:space="0" w:color="808080"/>
              <w:right w:val="single" w:sz="4" w:space="0" w:color="808080"/>
            </w:tcBorders>
          </w:tcPr>
          <w:p w14:paraId="0000012E"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Partner</w:t>
            </w:r>
          </w:p>
        </w:tc>
        <w:tc>
          <w:tcPr>
            <w:tcW w:w="4565" w:type="dxa"/>
            <w:tcBorders>
              <w:top w:val="single" w:sz="4" w:space="0" w:color="808080"/>
              <w:left w:val="single" w:sz="4" w:space="0" w:color="808080"/>
              <w:bottom w:val="single" w:sz="4" w:space="0" w:color="808080"/>
              <w:right w:val="single" w:sz="4" w:space="0" w:color="808080"/>
            </w:tcBorders>
          </w:tcPr>
          <w:p w14:paraId="0000012F"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A18873B" w14:textId="77777777">
        <w:tc>
          <w:tcPr>
            <w:tcW w:w="4450" w:type="dxa"/>
            <w:tcBorders>
              <w:top w:val="single" w:sz="4" w:space="0" w:color="808080"/>
              <w:left w:val="single" w:sz="4" w:space="0" w:color="808080"/>
              <w:bottom w:val="single" w:sz="4" w:space="0" w:color="808080"/>
              <w:right w:val="single" w:sz="4" w:space="0" w:color="808080"/>
            </w:tcBorders>
          </w:tcPr>
          <w:p w14:paraId="00000130"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Legal Director/Counsel or equivalent</w:t>
            </w:r>
          </w:p>
        </w:tc>
        <w:tc>
          <w:tcPr>
            <w:tcW w:w="4565" w:type="dxa"/>
            <w:tcBorders>
              <w:top w:val="single" w:sz="4" w:space="0" w:color="808080"/>
              <w:left w:val="single" w:sz="4" w:space="0" w:color="808080"/>
              <w:bottom w:val="single" w:sz="4" w:space="0" w:color="808080"/>
              <w:right w:val="single" w:sz="4" w:space="0" w:color="808080"/>
            </w:tcBorders>
          </w:tcPr>
          <w:p w14:paraId="00000131"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4A08BFF2" w14:textId="77777777">
        <w:tc>
          <w:tcPr>
            <w:tcW w:w="4450" w:type="dxa"/>
            <w:tcBorders>
              <w:top w:val="single" w:sz="4" w:space="0" w:color="808080"/>
              <w:left w:val="single" w:sz="4" w:space="0" w:color="808080"/>
              <w:bottom w:val="single" w:sz="4" w:space="0" w:color="808080"/>
              <w:right w:val="single" w:sz="4" w:space="0" w:color="808080"/>
            </w:tcBorders>
          </w:tcPr>
          <w:p w14:paraId="00000132"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Senior Solicitor/Senior Associate/Senior Legal Executive</w:t>
            </w:r>
          </w:p>
        </w:tc>
        <w:tc>
          <w:tcPr>
            <w:tcW w:w="4565" w:type="dxa"/>
            <w:tcBorders>
              <w:top w:val="single" w:sz="4" w:space="0" w:color="808080"/>
              <w:left w:val="single" w:sz="4" w:space="0" w:color="808080"/>
              <w:bottom w:val="single" w:sz="4" w:space="0" w:color="808080"/>
              <w:right w:val="single" w:sz="4" w:space="0" w:color="808080"/>
            </w:tcBorders>
          </w:tcPr>
          <w:p w14:paraId="00000133"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4CB874C4" w14:textId="77777777">
        <w:tc>
          <w:tcPr>
            <w:tcW w:w="4450" w:type="dxa"/>
            <w:tcBorders>
              <w:top w:val="single" w:sz="4" w:space="0" w:color="808080"/>
              <w:left w:val="single" w:sz="4" w:space="0" w:color="808080"/>
              <w:bottom w:val="single" w:sz="4" w:space="0" w:color="808080"/>
              <w:right w:val="single" w:sz="4" w:space="0" w:color="808080"/>
            </w:tcBorders>
          </w:tcPr>
          <w:p w14:paraId="00000134"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Solicitor/Associate/Legal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135"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5B64527A" w14:textId="77777777">
        <w:tc>
          <w:tcPr>
            <w:tcW w:w="4450" w:type="dxa"/>
            <w:tcBorders>
              <w:top w:val="single" w:sz="4" w:space="0" w:color="808080"/>
              <w:left w:val="single" w:sz="4" w:space="0" w:color="808080"/>
              <w:bottom w:val="single" w:sz="4" w:space="0" w:color="808080"/>
              <w:right w:val="single" w:sz="4" w:space="0" w:color="808080"/>
            </w:tcBorders>
          </w:tcPr>
          <w:p w14:paraId="00000136"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NQ Solicitor/Associate/Junior Solicitor/ Associate/Legal Executive</w:t>
            </w:r>
          </w:p>
        </w:tc>
        <w:tc>
          <w:tcPr>
            <w:tcW w:w="4565" w:type="dxa"/>
            <w:tcBorders>
              <w:top w:val="single" w:sz="4" w:space="0" w:color="808080"/>
              <w:left w:val="single" w:sz="4" w:space="0" w:color="808080"/>
              <w:bottom w:val="single" w:sz="4" w:space="0" w:color="808080"/>
              <w:right w:val="single" w:sz="4" w:space="0" w:color="808080"/>
            </w:tcBorders>
          </w:tcPr>
          <w:p w14:paraId="00000137"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32BCF2E7" w14:textId="77777777">
        <w:tc>
          <w:tcPr>
            <w:tcW w:w="4450" w:type="dxa"/>
            <w:tcBorders>
              <w:top w:val="single" w:sz="4" w:space="0" w:color="808080"/>
              <w:left w:val="single" w:sz="4" w:space="0" w:color="808080"/>
              <w:bottom w:val="single" w:sz="4" w:space="0" w:color="808080"/>
              <w:right w:val="single" w:sz="4" w:space="0" w:color="808080"/>
            </w:tcBorders>
          </w:tcPr>
          <w:p w14:paraId="00000138"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Trainee/Legal Apprentice</w:t>
            </w:r>
          </w:p>
        </w:tc>
        <w:tc>
          <w:tcPr>
            <w:tcW w:w="4565" w:type="dxa"/>
            <w:tcBorders>
              <w:top w:val="single" w:sz="4" w:space="0" w:color="808080"/>
              <w:left w:val="single" w:sz="4" w:space="0" w:color="808080"/>
              <w:bottom w:val="single" w:sz="4" w:space="0" w:color="808080"/>
              <w:right w:val="single" w:sz="4" w:space="0" w:color="808080"/>
            </w:tcBorders>
          </w:tcPr>
          <w:p w14:paraId="00000139"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15BF66EE" w14:textId="77777777">
        <w:tc>
          <w:tcPr>
            <w:tcW w:w="4450" w:type="dxa"/>
            <w:tcBorders>
              <w:top w:val="single" w:sz="4" w:space="0" w:color="808080"/>
              <w:left w:val="single" w:sz="4" w:space="0" w:color="808080"/>
              <w:bottom w:val="single" w:sz="4" w:space="0" w:color="808080"/>
              <w:right w:val="single" w:sz="4" w:space="0" w:color="808080"/>
            </w:tcBorders>
          </w:tcPr>
          <w:p w14:paraId="0000013A"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Paralegal/Legal Assistant</w:t>
            </w:r>
          </w:p>
        </w:tc>
        <w:tc>
          <w:tcPr>
            <w:tcW w:w="4565" w:type="dxa"/>
            <w:tcBorders>
              <w:top w:val="single" w:sz="4" w:space="0" w:color="808080"/>
              <w:left w:val="single" w:sz="4" w:space="0" w:color="808080"/>
              <w:bottom w:val="single" w:sz="4" w:space="0" w:color="808080"/>
              <w:right w:val="single" w:sz="4" w:space="0" w:color="808080"/>
            </w:tcBorders>
          </w:tcPr>
          <w:p w14:paraId="0000013B" w14:textId="77777777" w:rsidR="00892BBA" w:rsidRPr="00CC1AAA" w:rsidRDefault="00DA7CC1">
            <w:pPr>
              <w:rPr>
                <w:rFonts w:ascii="Arial" w:eastAsia="Arial" w:hAnsi="Arial" w:cs="Arial"/>
                <w:b/>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r w:rsidR="00892BBA" w:rsidRPr="00CC1AAA" w14:paraId="6ADC7839" w14:textId="77777777">
        <w:tc>
          <w:tcPr>
            <w:tcW w:w="4450" w:type="dxa"/>
            <w:tcBorders>
              <w:top w:val="single" w:sz="4" w:space="0" w:color="808080"/>
              <w:left w:val="single" w:sz="4" w:space="0" w:color="808080"/>
              <w:bottom w:val="single" w:sz="4" w:space="0" w:color="808080"/>
              <w:right w:val="single" w:sz="4" w:space="0" w:color="808080"/>
            </w:tcBorders>
          </w:tcPr>
          <w:p w14:paraId="0000013C"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Legal Project Manager</w:t>
            </w:r>
          </w:p>
        </w:tc>
        <w:tc>
          <w:tcPr>
            <w:tcW w:w="4565" w:type="dxa"/>
            <w:tcBorders>
              <w:top w:val="single" w:sz="4" w:space="0" w:color="808080"/>
              <w:left w:val="single" w:sz="4" w:space="0" w:color="808080"/>
              <w:bottom w:val="single" w:sz="4" w:space="0" w:color="808080"/>
              <w:right w:val="single" w:sz="4" w:space="0" w:color="808080"/>
            </w:tcBorders>
          </w:tcPr>
          <w:p w14:paraId="0000013D" w14:textId="77777777" w:rsidR="00892BBA" w:rsidRPr="00CC1AAA" w:rsidRDefault="00DA7CC1">
            <w:pPr>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hourly rate]</w:t>
            </w:r>
          </w:p>
        </w:tc>
      </w:tr>
    </w:tbl>
    <w:p w14:paraId="00000140" w14:textId="77777777" w:rsidR="00892BBA" w:rsidRPr="00CC1AAA" w:rsidRDefault="00DA7CC1">
      <w:pPr>
        <w:rPr>
          <w:rFonts w:ascii="Arial" w:eastAsia="Arial" w:hAnsi="Arial" w:cs="Arial"/>
          <w:b/>
          <w:sz w:val="24"/>
          <w:szCs w:val="24"/>
        </w:rPr>
      </w:pPr>
      <w:r w:rsidRPr="00CC1AAA">
        <w:rPr>
          <w:rFonts w:ascii="Arial" w:hAnsi="Arial" w:cs="Arial"/>
          <w:sz w:val="24"/>
          <w:szCs w:val="24"/>
        </w:rPr>
        <w:br w:type="page"/>
      </w:r>
    </w:p>
    <w:p w14:paraId="00000142" w14:textId="78AED333" w:rsidR="00892BBA" w:rsidRPr="00CC1AAA" w:rsidRDefault="00DA7CC1">
      <w:pPr>
        <w:rPr>
          <w:rFonts w:ascii="Arial" w:eastAsia="Arial" w:hAnsi="Arial" w:cs="Arial"/>
          <w:b/>
          <w:sz w:val="24"/>
          <w:szCs w:val="24"/>
        </w:rPr>
      </w:pPr>
      <w:r w:rsidRPr="00CC1AAA">
        <w:rPr>
          <w:rFonts w:ascii="Arial" w:eastAsia="Arial" w:hAnsi="Arial" w:cs="Arial"/>
          <w:b/>
          <w:sz w:val="24"/>
          <w:szCs w:val="24"/>
        </w:rPr>
        <w:lastRenderedPageBreak/>
        <w:t>Annex 2: Volume Based Discounts</w:t>
      </w:r>
    </w:p>
    <w:p w14:paraId="00000143"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 xml:space="preserve">Table 1: Lots 1, 2, 3 and 5 </w:t>
      </w:r>
    </w:p>
    <w:tbl>
      <w:tblPr>
        <w:tblStyle w:val="a6"/>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5"/>
        <w:gridCol w:w="3005"/>
        <w:gridCol w:w="3006"/>
      </w:tblGrid>
      <w:tr w:rsidR="00892BBA" w:rsidRPr="00CC1AAA" w14:paraId="26FD12A7" w14:textId="77777777">
        <w:tc>
          <w:tcPr>
            <w:tcW w:w="3005" w:type="dxa"/>
            <w:tcBorders>
              <w:top w:val="single" w:sz="4" w:space="0" w:color="000000"/>
              <w:left w:val="single" w:sz="4" w:space="0" w:color="000000"/>
              <w:bottom w:val="single" w:sz="4" w:space="0" w:color="000000"/>
              <w:right w:val="single" w:sz="4" w:space="0" w:color="000000"/>
            </w:tcBorders>
            <w:shd w:val="clear" w:color="auto" w:fill="BFBFBF"/>
          </w:tcPr>
          <w:p w14:paraId="00000144" w14:textId="77777777" w:rsidR="00892BBA" w:rsidRPr="00CC1AAA" w:rsidRDefault="00DA7CC1">
            <w:pPr>
              <w:spacing w:after="200" w:line="276" w:lineRule="auto"/>
              <w:rPr>
                <w:rFonts w:ascii="Arial" w:eastAsia="Arial" w:hAnsi="Arial" w:cs="Arial"/>
                <w:b/>
                <w:sz w:val="24"/>
                <w:szCs w:val="24"/>
              </w:rPr>
            </w:pPr>
            <w:r w:rsidRPr="00CC1AAA">
              <w:rPr>
                <w:rFonts w:ascii="Arial" w:eastAsia="Arial" w:hAnsi="Arial" w:cs="Arial"/>
                <w:b/>
                <w:sz w:val="24"/>
                <w:szCs w:val="24"/>
              </w:rPr>
              <w:t>Threshold 1</w:t>
            </w:r>
          </w:p>
        </w:tc>
        <w:tc>
          <w:tcPr>
            <w:tcW w:w="3005" w:type="dxa"/>
            <w:tcBorders>
              <w:top w:val="single" w:sz="4" w:space="0" w:color="000000"/>
              <w:left w:val="single" w:sz="4" w:space="0" w:color="000000"/>
              <w:bottom w:val="single" w:sz="4" w:space="0" w:color="000000"/>
              <w:right w:val="single" w:sz="4" w:space="0" w:color="000000"/>
            </w:tcBorders>
            <w:shd w:val="clear" w:color="auto" w:fill="BFBFBF"/>
          </w:tcPr>
          <w:p w14:paraId="00000145" w14:textId="77777777" w:rsidR="00892BBA" w:rsidRPr="00CC1AAA" w:rsidRDefault="00DA7CC1">
            <w:pPr>
              <w:spacing w:after="200" w:line="276" w:lineRule="auto"/>
              <w:rPr>
                <w:rFonts w:ascii="Arial" w:eastAsia="Arial" w:hAnsi="Arial" w:cs="Arial"/>
                <w:b/>
                <w:sz w:val="24"/>
                <w:szCs w:val="24"/>
              </w:rPr>
            </w:pPr>
            <w:r w:rsidRPr="00CC1AAA">
              <w:rPr>
                <w:rFonts w:ascii="Arial" w:eastAsia="Arial" w:hAnsi="Arial" w:cs="Arial"/>
                <w:b/>
                <w:sz w:val="24"/>
                <w:szCs w:val="24"/>
              </w:rPr>
              <w:t>Threshold 2</w:t>
            </w:r>
          </w:p>
        </w:tc>
        <w:tc>
          <w:tcPr>
            <w:tcW w:w="3006" w:type="dxa"/>
            <w:tcBorders>
              <w:top w:val="single" w:sz="4" w:space="0" w:color="000000"/>
              <w:left w:val="single" w:sz="4" w:space="0" w:color="000000"/>
              <w:bottom w:val="single" w:sz="4" w:space="0" w:color="000000"/>
              <w:right w:val="single" w:sz="4" w:space="0" w:color="000000"/>
            </w:tcBorders>
            <w:shd w:val="clear" w:color="auto" w:fill="BFBFBF"/>
          </w:tcPr>
          <w:p w14:paraId="00000146" w14:textId="77777777" w:rsidR="00892BBA" w:rsidRPr="00CC1AAA" w:rsidRDefault="00DA7CC1">
            <w:pPr>
              <w:spacing w:after="200" w:line="276" w:lineRule="auto"/>
              <w:rPr>
                <w:rFonts w:ascii="Arial" w:eastAsia="Arial" w:hAnsi="Arial" w:cs="Arial"/>
                <w:b/>
                <w:sz w:val="24"/>
                <w:szCs w:val="24"/>
              </w:rPr>
            </w:pPr>
            <w:r w:rsidRPr="00CC1AAA">
              <w:rPr>
                <w:rFonts w:ascii="Arial" w:eastAsia="Arial" w:hAnsi="Arial" w:cs="Arial"/>
                <w:b/>
                <w:sz w:val="24"/>
                <w:szCs w:val="24"/>
              </w:rPr>
              <w:t>Threshold 3</w:t>
            </w:r>
          </w:p>
        </w:tc>
      </w:tr>
      <w:tr w:rsidR="00892BBA" w:rsidRPr="00CC1AAA" w14:paraId="55C15287" w14:textId="77777777">
        <w:tc>
          <w:tcPr>
            <w:tcW w:w="3005" w:type="dxa"/>
            <w:tcBorders>
              <w:top w:val="single" w:sz="4" w:space="0" w:color="000000"/>
              <w:left w:val="single" w:sz="4" w:space="0" w:color="000000"/>
              <w:bottom w:val="single" w:sz="4" w:space="0" w:color="000000"/>
              <w:right w:val="single" w:sz="4" w:space="0" w:color="000000"/>
            </w:tcBorders>
            <w:shd w:val="clear" w:color="auto" w:fill="D9D9D9"/>
          </w:tcPr>
          <w:p w14:paraId="00000147" w14:textId="77777777" w:rsidR="00892BBA" w:rsidRPr="00CC1AAA" w:rsidRDefault="00DA7CC1">
            <w:pPr>
              <w:spacing w:after="200" w:line="276" w:lineRule="auto"/>
              <w:rPr>
                <w:rFonts w:ascii="Arial" w:eastAsia="Arial" w:hAnsi="Arial" w:cs="Arial"/>
                <w:sz w:val="24"/>
                <w:szCs w:val="24"/>
              </w:rPr>
            </w:pPr>
            <w:r w:rsidRPr="00CC1AAA">
              <w:rPr>
                <w:rFonts w:ascii="Arial" w:eastAsia="Arial" w:hAnsi="Arial" w:cs="Arial"/>
                <w:sz w:val="24"/>
                <w:szCs w:val="24"/>
              </w:rPr>
              <w:t>£1m up to £2,499,999.99</w:t>
            </w:r>
          </w:p>
        </w:tc>
        <w:tc>
          <w:tcPr>
            <w:tcW w:w="3005" w:type="dxa"/>
            <w:tcBorders>
              <w:top w:val="single" w:sz="4" w:space="0" w:color="000000"/>
              <w:left w:val="single" w:sz="4" w:space="0" w:color="000000"/>
              <w:bottom w:val="single" w:sz="4" w:space="0" w:color="000000"/>
              <w:right w:val="single" w:sz="4" w:space="0" w:color="000000"/>
            </w:tcBorders>
            <w:shd w:val="clear" w:color="auto" w:fill="D9D9D9"/>
          </w:tcPr>
          <w:p w14:paraId="00000148" w14:textId="77777777" w:rsidR="00892BBA" w:rsidRPr="00CC1AAA" w:rsidRDefault="00DA7CC1">
            <w:pPr>
              <w:spacing w:after="200" w:line="276" w:lineRule="auto"/>
              <w:rPr>
                <w:rFonts w:ascii="Arial" w:eastAsia="Arial" w:hAnsi="Arial" w:cs="Arial"/>
                <w:sz w:val="24"/>
                <w:szCs w:val="24"/>
              </w:rPr>
            </w:pPr>
            <w:r w:rsidRPr="00CC1AAA">
              <w:rPr>
                <w:rFonts w:ascii="Arial" w:eastAsia="Arial" w:hAnsi="Arial" w:cs="Arial"/>
                <w:sz w:val="24"/>
                <w:szCs w:val="24"/>
              </w:rPr>
              <w:t>£2.5m up to £4.999,999.99</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cPr>
          <w:p w14:paraId="00000149" w14:textId="77777777" w:rsidR="00892BBA" w:rsidRPr="00CC1AAA" w:rsidRDefault="00DA7CC1">
            <w:pPr>
              <w:spacing w:after="200" w:line="276" w:lineRule="auto"/>
              <w:rPr>
                <w:rFonts w:ascii="Arial" w:eastAsia="Arial" w:hAnsi="Arial" w:cs="Arial"/>
                <w:sz w:val="24"/>
                <w:szCs w:val="24"/>
              </w:rPr>
            </w:pPr>
            <w:r w:rsidRPr="00CC1AAA">
              <w:rPr>
                <w:rFonts w:ascii="Arial" w:eastAsia="Arial" w:hAnsi="Arial" w:cs="Arial"/>
                <w:sz w:val="24"/>
                <w:szCs w:val="24"/>
              </w:rPr>
              <w:t>£5m and above</w:t>
            </w:r>
          </w:p>
        </w:tc>
      </w:tr>
      <w:tr w:rsidR="00892BBA" w:rsidRPr="00CC1AAA" w14:paraId="7487F848" w14:textId="77777777">
        <w:tc>
          <w:tcPr>
            <w:tcW w:w="3005" w:type="dxa"/>
            <w:tcBorders>
              <w:top w:val="single" w:sz="4" w:space="0" w:color="000000"/>
              <w:left w:val="single" w:sz="4" w:space="0" w:color="000000"/>
              <w:bottom w:val="single" w:sz="4" w:space="0" w:color="000000"/>
              <w:right w:val="single" w:sz="4" w:space="0" w:color="000000"/>
            </w:tcBorders>
          </w:tcPr>
          <w:p w14:paraId="0000014A" w14:textId="77777777" w:rsidR="00892BBA" w:rsidRPr="00CC1AAA" w:rsidRDefault="00DA7CC1">
            <w:pPr>
              <w:spacing w:before="240" w:after="200" w:line="276" w:lineRule="auto"/>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Volume Discount percentage (%)]</w:t>
            </w:r>
          </w:p>
        </w:tc>
        <w:tc>
          <w:tcPr>
            <w:tcW w:w="3005" w:type="dxa"/>
            <w:tcBorders>
              <w:top w:val="single" w:sz="4" w:space="0" w:color="000000"/>
              <w:left w:val="single" w:sz="4" w:space="0" w:color="000000"/>
              <w:bottom w:val="single" w:sz="4" w:space="0" w:color="000000"/>
              <w:right w:val="single" w:sz="4" w:space="0" w:color="000000"/>
            </w:tcBorders>
          </w:tcPr>
          <w:p w14:paraId="0000014B" w14:textId="77777777" w:rsidR="00892BBA" w:rsidRPr="00CC1AAA" w:rsidRDefault="00DA7CC1">
            <w:pPr>
              <w:spacing w:before="240" w:after="200" w:line="276" w:lineRule="auto"/>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Volume Discount percentage (%)]</w:t>
            </w:r>
          </w:p>
        </w:tc>
        <w:tc>
          <w:tcPr>
            <w:tcW w:w="3006" w:type="dxa"/>
            <w:tcBorders>
              <w:top w:val="single" w:sz="4" w:space="0" w:color="000000"/>
              <w:left w:val="single" w:sz="4" w:space="0" w:color="000000"/>
              <w:bottom w:val="single" w:sz="4" w:space="0" w:color="000000"/>
              <w:right w:val="single" w:sz="4" w:space="0" w:color="000000"/>
            </w:tcBorders>
          </w:tcPr>
          <w:p w14:paraId="0000014C" w14:textId="77777777" w:rsidR="00892BBA" w:rsidRPr="00CC1AAA" w:rsidRDefault="00DA7CC1">
            <w:pPr>
              <w:spacing w:before="240" w:after="200" w:line="276" w:lineRule="auto"/>
              <w:rPr>
                <w:rFonts w:ascii="Arial" w:eastAsia="Arial" w:hAnsi="Arial" w:cs="Arial"/>
                <w:sz w:val="24"/>
                <w:szCs w:val="24"/>
              </w:rPr>
            </w:pPr>
            <w:r w:rsidRPr="00CC1AAA">
              <w:rPr>
                <w:rFonts w:ascii="Arial" w:eastAsia="Arial" w:hAnsi="Arial" w:cs="Arial"/>
                <w:sz w:val="24"/>
                <w:szCs w:val="24"/>
              </w:rPr>
              <w:t>[</w:t>
            </w:r>
            <w:r w:rsidRPr="00CC1AAA">
              <w:rPr>
                <w:rFonts w:ascii="Arial" w:eastAsia="Arial" w:hAnsi="Arial" w:cs="Arial"/>
                <w:sz w:val="24"/>
                <w:szCs w:val="24"/>
                <w:highlight w:val="yellow"/>
              </w:rPr>
              <w:t>Insert</w:t>
            </w:r>
            <w:r w:rsidRPr="00CC1AAA">
              <w:rPr>
                <w:rFonts w:ascii="Arial" w:eastAsia="Arial" w:hAnsi="Arial" w:cs="Arial"/>
                <w:sz w:val="24"/>
                <w:szCs w:val="24"/>
              </w:rPr>
              <w:t xml:space="preserve"> Volume Discount percentage (%)]</w:t>
            </w:r>
          </w:p>
        </w:tc>
      </w:tr>
    </w:tbl>
    <w:p w14:paraId="0000014D" w14:textId="77777777" w:rsidR="00892BBA" w:rsidRPr="00CC1AAA" w:rsidRDefault="00892BBA">
      <w:pPr>
        <w:rPr>
          <w:rFonts w:ascii="Arial" w:eastAsia="Arial" w:hAnsi="Arial" w:cs="Arial"/>
          <w:b/>
          <w:sz w:val="24"/>
          <w:szCs w:val="24"/>
        </w:rPr>
      </w:pPr>
    </w:p>
    <w:p w14:paraId="0000014E"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Table 2: Lot 4a, 4b and 4c</w:t>
      </w:r>
    </w:p>
    <w:tbl>
      <w:tblPr>
        <w:tblStyle w:val="a7"/>
        <w:tblW w:w="892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4530"/>
        <w:gridCol w:w="4395"/>
      </w:tblGrid>
      <w:tr w:rsidR="00892BBA" w:rsidRPr="00CC1AAA" w14:paraId="1F4CC9EF" w14:textId="77777777">
        <w:tc>
          <w:tcPr>
            <w:tcW w:w="4530" w:type="dxa"/>
            <w:tcBorders>
              <w:top w:val="single" w:sz="4" w:space="0" w:color="808080"/>
              <w:left w:val="single" w:sz="4" w:space="0" w:color="808080"/>
              <w:bottom w:val="single" w:sz="4" w:space="0" w:color="808080"/>
              <w:right w:val="single" w:sz="4" w:space="0" w:color="808080"/>
            </w:tcBorders>
            <w:shd w:val="clear" w:color="auto" w:fill="BFBFBF"/>
          </w:tcPr>
          <w:p w14:paraId="0000014F"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No. of Hours</w:t>
            </w:r>
          </w:p>
        </w:tc>
        <w:tc>
          <w:tcPr>
            <w:tcW w:w="4395" w:type="dxa"/>
            <w:tcBorders>
              <w:top w:val="single" w:sz="4" w:space="0" w:color="808080"/>
              <w:left w:val="single" w:sz="4" w:space="0" w:color="808080"/>
              <w:bottom w:val="single" w:sz="4" w:space="0" w:color="808080"/>
              <w:right w:val="single" w:sz="4" w:space="0" w:color="808080"/>
            </w:tcBorders>
            <w:shd w:val="clear" w:color="auto" w:fill="BFBFBF"/>
          </w:tcPr>
          <w:p w14:paraId="00000150"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 Discount</w:t>
            </w:r>
          </w:p>
        </w:tc>
      </w:tr>
      <w:tr w:rsidR="00892BBA" w:rsidRPr="00CC1AAA" w14:paraId="5FEB9F54" w14:textId="77777777">
        <w:trPr>
          <w:trHeight w:val="636"/>
        </w:trPr>
        <w:tc>
          <w:tcPr>
            <w:tcW w:w="4530" w:type="dxa"/>
            <w:tcBorders>
              <w:top w:val="single" w:sz="4" w:space="0" w:color="808080"/>
              <w:left w:val="single" w:sz="4" w:space="0" w:color="808080"/>
              <w:bottom w:val="single" w:sz="4" w:space="0" w:color="808080"/>
              <w:right w:val="single" w:sz="4" w:space="0" w:color="808080"/>
            </w:tcBorders>
          </w:tcPr>
          <w:p w14:paraId="00000151"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500 &gt; 999</w:t>
            </w:r>
          </w:p>
        </w:tc>
        <w:tc>
          <w:tcPr>
            <w:tcW w:w="4395" w:type="dxa"/>
            <w:tcBorders>
              <w:top w:val="single" w:sz="4" w:space="0" w:color="808080"/>
              <w:left w:val="single" w:sz="4" w:space="0" w:color="808080"/>
              <w:bottom w:val="single" w:sz="4" w:space="0" w:color="808080"/>
              <w:right w:val="single" w:sz="4" w:space="0" w:color="808080"/>
            </w:tcBorders>
          </w:tcPr>
          <w:p w14:paraId="00000152" w14:textId="77777777" w:rsidR="00892BBA" w:rsidRPr="00CC1AAA" w:rsidRDefault="00892BBA">
            <w:pPr>
              <w:rPr>
                <w:rFonts w:ascii="Arial" w:eastAsia="Arial" w:hAnsi="Arial" w:cs="Arial"/>
                <w:b/>
                <w:sz w:val="24"/>
                <w:szCs w:val="24"/>
              </w:rPr>
            </w:pPr>
          </w:p>
        </w:tc>
      </w:tr>
      <w:tr w:rsidR="00892BBA" w:rsidRPr="00CC1AAA" w14:paraId="6D4C3A9F" w14:textId="77777777">
        <w:trPr>
          <w:trHeight w:val="636"/>
        </w:trPr>
        <w:tc>
          <w:tcPr>
            <w:tcW w:w="4530" w:type="dxa"/>
            <w:tcBorders>
              <w:top w:val="single" w:sz="4" w:space="0" w:color="808080"/>
              <w:left w:val="single" w:sz="4" w:space="0" w:color="808080"/>
              <w:bottom w:val="single" w:sz="4" w:space="0" w:color="808080"/>
              <w:right w:val="single" w:sz="4" w:space="0" w:color="808080"/>
            </w:tcBorders>
          </w:tcPr>
          <w:p w14:paraId="00000153"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1000-2999</w:t>
            </w:r>
          </w:p>
        </w:tc>
        <w:tc>
          <w:tcPr>
            <w:tcW w:w="4395" w:type="dxa"/>
            <w:tcBorders>
              <w:top w:val="single" w:sz="4" w:space="0" w:color="808080"/>
              <w:left w:val="single" w:sz="4" w:space="0" w:color="808080"/>
              <w:bottom w:val="single" w:sz="4" w:space="0" w:color="808080"/>
              <w:right w:val="single" w:sz="4" w:space="0" w:color="808080"/>
            </w:tcBorders>
          </w:tcPr>
          <w:p w14:paraId="00000154" w14:textId="77777777" w:rsidR="00892BBA" w:rsidRPr="00CC1AAA" w:rsidRDefault="00892BBA">
            <w:pPr>
              <w:rPr>
                <w:rFonts w:ascii="Arial" w:eastAsia="Arial" w:hAnsi="Arial" w:cs="Arial"/>
                <w:b/>
                <w:sz w:val="24"/>
                <w:szCs w:val="24"/>
              </w:rPr>
            </w:pPr>
          </w:p>
        </w:tc>
      </w:tr>
      <w:tr w:rsidR="00892BBA" w:rsidRPr="00CC1AAA" w14:paraId="2071CF30" w14:textId="77777777">
        <w:trPr>
          <w:trHeight w:val="636"/>
        </w:trPr>
        <w:tc>
          <w:tcPr>
            <w:tcW w:w="4530" w:type="dxa"/>
            <w:tcBorders>
              <w:top w:val="single" w:sz="4" w:space="0" w:color="808080"/>
              <w:left w:val="single" w:sz="4" w:space="0" w:color="808080"/>
              <w:bottom w:val="single" w:sz="4" w:space="0" w:color="808080"/>
              <w:right w:val="single" w:sz="4" w:space="0" w:color="808080"/>
            </w:tcBorders>
          </w:tcPr>
          <w:p w14:paraId="00000155"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t>3000+</w:t>
            </w:r>
          </w:p>
        </w:tc>
        <w:tc>
          <w:tcPr>
            <w:tcW w:w="4395" w:type="dxa"/>
            <w:tcBorders>
              <w:top w:val="single" w:sz="4" w:space="0" w:color="808080"/>
              <w:left w:val="single" w:sz="4" w:space="0" w:color="808080"/>
              <w:bottom w:val="single" w:sz="4" w:space="0" w:color="808080"/>
              <w:right w:val="single" w:sz="4" w:space="0" w:color="808080"/>
            </w:tcBorders>
          </w:tcPr>
          <w:p w14:paraId="00000156" w14:textId="77777777" w:rsidR="00892BBA" w:rsidRPr="00CC1AAA" w:rsidRDefault="00892BBA">
            <w:pPr>
              <w:rPr>
                <w:rFonts w:ascii="Arial" w:eastAsia="Arial" w:hAnsi="Arial" w:cs="Arial"/>
                <w:b/>
                <w:sz w:val="24"/>
                <w:szCs w:val="24"/>
              </w:rPr>
            </w:pPr>
          </w:p>
        </w:tc>
      </w:tr>
    </w:tbl>
    <w:p w14:paraId="00000157" w14:textId="77777777" w:rsidR="00892BBA" w:rsidRPr="00CC1AAA" w:rsidRDefault="00892BBA">
      <w:pPr>
        <w:rPr>
          <w:rFonts w:ascii="Arial" w:eastAsia="Arial" w:hAnsi="Arial" w:cs="Arial"/>
          <w:b/>
          <w:sz w:val="24"/>
          <w:szCs w:val="24"/>
        </w:rPr>
        <w:sectPr w:rsidR="00892BBA" w:rsidRPr="00CC1AAA">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p>
    <w:p w14:paraId="00000158" w14:textId="77777777" w:rsidR="00892BBA" w:rsidRPr="00CC1AAA" w:rsidRDefault="00DA7CC1">
      <w:pPr>
        <w:rPr>
          <w:rFonts w:ascii="Arial" w:eastAsia="Arial" w:hAnsi="Arial" w:cs="Arial"/>
          <w:b/>
          <w:sz w:val="24"/>
          <w:szCs w:val="24"/>
        </w:rPr>
      </w:pPr>
      <w:r w:rsidRPr="00CC1AAA">
        <w:rPr>
          <w:rFonts w:ascii="Arial" w:eastAsia="Arial" w:hAnsi="Arial" w:cs="Arial"/>
          <w:b/>
          <w:sz w:val="24"/>
          <w:szCs w:val="24"/>
        </w:rPr>
        <w:lastRenderedPageBreak/>
        <w:t>Annex 3: Worked Examples</w:t>
      </w:r>
    </w:p>
    <w:p w14:paraId="00000159" w14:textId="77777777" w:rsidR="00892BBA" w:rsidRPr="00CC1AAA" w:rsidRDefault="00DA7CC1">
      <w:pPr>
        <w:keepNext/>
        <w:pBdr>
          <w:top w:val="nil"/>
          <w:left w:val="nil"/>
          <w:bottom w:val="nil"/>
          <w:right w:val="nil"/>
          <w:between w:val="nil"/>
        </w:pBdr>
        <w:spacing w:before="240" w:after="240" w:line="240" w:lineRule="auto"/>
        <w:rPr>
          <w:rFonts w:ascii="Arial" w:eastAsia="Arial" w:hAnsi="Arial" w:cs="Arial"/>
          <w:b/>
          <w:color w:val="000000"/>
          <w:sz w:val="24"/>
          <w:szCs w:val="24"/>
        </w:rPr>
      </w:pPr>
      <w:r w:rsidRPr="00CC1AAA">
        <w:rPr>
          <w:rFonts w:ascii="Arial" w:eastAsia="Arial" w:hAnsi="Arial" w:cs="Arial"/>
          <w:b/>
          <w:color w:val="000000"/>
          <w:sz w:val="24"/>
          <w:szCs w:val="24"/>
        </w:rPr>
        <w:t>Worked Example 1: SPPI: Legal Indexation</w:t>
      </w:r>
    </w:p>
    <w:p w14:paraId="0000015A" w14:textId="77777777" w:rsidR="00892BBA" w:rsidRPr="00CC1AAA" w:rsidRDefault="00DA7CC1">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CC1AAA">
        <w:rPr>
          <w:rFonts w:ascii="Arial" w:eastAsia="Arial" w:hAnsi="Arial" w:cs="Arial"/>
          <w:color w:val="000000"/>
          <w:sz w:val="24"/>
          <w:szCs w:val="24"/>
        </w:rPr>
        <w:t>In this example, the Framework Start Date is 1 September 2025.</w:t>
      </w:r>
    </w:p>
    <w:p w14:paraId="0000015B" w14:textId="77777777" w:rsidR="00892BBA" w:rsidRPr="00CC1AAA" w:rsidRDefault="00DA7CC1">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CC1AAA">
        <w:rPr>
          <w:rFonts w:ascii="Arial" w:eastAsia="Arial" w:hAnsi="Arial" w:cs="Arial"/>
          <w:color w:val="000000"/>
          <w:sz w:val="24"/>
          <w:szCs w:val="24"/>
        </w:rPr>
        <w:t xml:space="preserve">The Framework Price for a specified grade at the Framework Start Date was £200 per hour.  The Framework Prices are fixed for the first two Contract Years so the specified grade remained at £200 per hour until the second anniversary of the Framework Start Date (1 September 2027). </w:t>
      </w:r>
    </w:p>
    <w:p w14:paraId="0000015C" w14:textId="13395DB2" w:rsidR="00892BBA" w:rsidRPr="00CC1AAA" w:rsidRDefault="00DA7CC1">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CC1AAA">
        <w:rPr>
          <w:rFonts w:ascii="Arial" w:eastAsia="Arial" w:hAnsi="Arial" w:cs="Arial"/>
          <w:color w:val="000000"/>
          <w:sz w:val="24"/>
          <w:szCs w:val="24"/>
        </w:rPr>
        <w:t>The SPPI: Legal data issued in July 2027 showed an increase of 3% over the preceding 12 month period (July 2026 to July 2027). The Supplier wanted the Inflation Tracker to be applied at the first Inflation Change Date (being 1 September 2027</w:t>
      </w:r>
      <w:r w:rsidR="00D76EAF" w:rsidRPr="00CC1AAA">
        <w:rPr>
          <w:rFonts w:ascii="Arial" w:eastAsia="Arial" w:hAnsi="Arial" w:cs="Arial"/>
          <w:color w:val="000000"/>
          <w:sz w:val="24"/>
          <w:szCs w:val="24"/>
        </w:rPr>
        <w:t>), and</w:t>
      </w:r>
      <w:r w:rsidRPr="00CC1AAA">
        <w:rPr>
          <w:rFonts w:ascii="Arial" w:eastAsia="Arial" w:hAnsi="Arial" w:cs="Arial"/>
          <w:color w:val="000000"/>
          <w:sz w:val="24"/>
          <w:szCs w:val="24"/>
        </w:rPr>
        <w:t xml:space="preserve"> submitted its request by email before 1 June 2027. Framework Prices were increased by 2% at the first Inflation Change Date, meaning the rate for the specified grade increased to £204 per hour during the third Contract Year. </w:t>
      </w:r>
    </w:p>
    <w:p w14:paraId="0000015D" w14:textId="77777777" w:rsidR="00892BBA" w:rsidRPr="00CC1AAA" w:rsidRDefault="00DA7CC1">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CC1AAA">
        <w:rPr>
          <w:rFonts w:ascii="Arial" w:eastAsia="Arial" w:hAnsi="Arial" w:cs="Arial"/>
          <w:color w:val="000000"/>
          <w:sz w:val="24"/>
          <w:szCs w:val="24"/>
        </w:rPr>
        <w:t xml:space="preserve">The Framework Contract was extended by one year. The SPPI: Legal data issued in July 2028 showed an increase of 5% over the preceding 12 month period (July 2027 to July 2028). The Supplier wanted the Inflation Tracker to be applied at the second Inflation Change Date (being 1 September 2028), and submitted its request by email before 1 June 2028. The Framework Prices were increased by 4% at the second Inflation Change Date, meaning the rate for the specified grade increased to £212.16 per hour during the fourth Contract Year. </w:t>
      </w:r>
    </w:p>
    <w:p w14:paraId="0000015E" w14:textId="77777777" w:rsidR="00892BBA" w:rsidRPr="00CC1AAA" w:rsidRDefault="00DA7CC1">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CC1AAA">
        <w:rPr>
          <w:rFonts w:ascii="Arial" w:eastAsia="Arial" w:hAnsi="Arial" w:cs="Arial"/>
          <w:color w:val="000000"/>
          <w:sz w:val="24"/>
          <w:szCs w:val="24"/>
        </w:rPr>
        <w:t>The Framework Contract expired at the end of the fourth Contract Year.  The Charges under all Call-Off Contracts which were outstanding post-expiry were not subject to further adjustment in accordance with the Inflation Tracker unless expressly set out in the relevant Call-Off Contract.</w:t>
      </w:r>
    </w:p>
    <w:p w14:paraId="0000015F" w14:textId="77777777" w:rsidR="00892BBA" w:rsidRPr="00CC1AAA" w:rsidRDefault="00DA7CC1">
      <w:pPr>
        <w:keepNext/>
        <w:pBdr>
          <w:top w:val="nil"/>
          <w:left w:val="nil"/>
          <w:bottom w:val="nil"/>
          <w:right w:val="nil"/>
          <w:between w:val="nil"/>
        </w:pBdr>
        <w:tabs>
          <w:tab w:val="left" w:pos="3836"/>
        </w:tabs>
        <w:spacing w:before="240" w:after="240" w:line="240" w:lineRule="auto"/>
        <w:rPr>
          <w:rFonts w:ascii="Arial" w:eastAsia="Arial" w:hAnsi="Arial" w:cs="Arial"/>
          <w:b/>
          <w:color w:val="000000"/>
          <w:sz w:val="24"/>
          <w:szCs w:val="24"/>
        </w:rPr>
      </w:pPr>
      <w:r w:rsidRPr="00CC1AAA">
        <w:rPr>
          <w:rFonts w:ascii="Arial" w:eastAsia="Arial" w:hAnsi="Arial" w:cs="Arial"/>
          <w:b/>
          <w:color w:val="000000"/>
          <w:sz w:val="24"/>
          <w:szCs w:val="24"/>
        </w:rPr>
        <w:t>Worked Example 2: Forex</w:t>
      </w:r>
    </w:p>
    <w:p w14:paraId="00000160" w14:textId="77777777" w:rsidR="00892BBA" w:rsidRPr="00CC1AAA" w:rsidRDefault="00DA7CC1">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CC1AAA">
        <w:rPr>
          <w:rFonts w:ascii="Arial" w:eastAsia="Arial" w:hAnsi="Arial" w:cs="Arial"/>
          <w:color w:val="000000"/>
          <w:sz w:val="24"/>
          <w:szCs w:val="24"/>
        </w:rPr>
        <w:t>In this example, the Framework Start Date is 1 September 2025.</w:t>
      </w:r>
    </w:p>
    <w:p w14:paraId="00000161" w14:textId="77777777" w:rsidR="00892BBA" w:rsidRPr="00CC1AAA" w:rsidRDefault="00DA7CC1">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CC1AAA">
        <w:rPr>
          <w:rFonts w:ascii="Arial" w:eastAsia="Arial" w:hAnsi="Arial" w:cs="Arial"/>
          <w:color w:val="000000"/>
          <w:sz w:val="24"/>
          <w:szCs w:val="24"/>
        </w:rPr>
        <w:t xml:space="preserve">The first Forex Change Date was 1 September 2026, and the first Forex Review Date was Friday 31 July 2026 (being the first Working Day falling 30 days prior to the Forex Change Date). The average strengthening of USD against GBP over the first Forex Review Period (1 August 2025 to 31 July 2026) versus the forex rate at the Framework Start Date was 1.26% and was 3.3% for EUR. </w:t>
      </w:r>
    </w:p>
    <w:p w14:paraId="00000162" w14:textId="77777777" w:rsidR="00892BBA" w:rsidRPr="00CC1AAA" w:rsidRDefault="00DA7CC1">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CC1AAA">
        <w:rPr>
          <w:rFonts w:ascii="Arial" w:eastAsia="Arial" w:hAnsi="Arial" w:cs="Arial"/>
          <w:color w:val="000000"/>
          <w:sz w:val="24"/>
          <w:szCs w:val="24"/>
        </w:rPr>
        <w:t xml:space="preserve">On this basis, Suppliers being tracked against USD would receive no increase to the original Framework Prices and Suppliers being tracked against EUR would receive an automatic increase of 3% to their original Framework Prices. ​ NB: The Inflation Tracker does not apply on the first Forex Review Date.  </w:t>
      </w:r>
    </w:p>
    <w:p w14:paraId="00000163" w14:textId="77777777" w:rsidR="00892BBA" w:rsidRPr="00CC1AAA" w:rsidRDefault="00DA7CC1">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CC1AAA">
        <w:rPr>
          <w:rFonts w:ascii="Arial" w:eastAsia="Arial" w:hAnsi="Arial" w:cs="Arial"/>
          <w:color w:val="000000"/>
          <w:sz w:val="24"/>
          <w:szCs w:val="24"/>
        </w:rPr>
        <w:t xml:space="preserve">The second Forex Change Date was 1 September 2027, and the second Forex Review Date was 2 August 2027.  The average exchange rate against GBP over the second Forex Review Period (3 August 2026 to 2 August 2027) versus the forex rate at the Framework Start Date was -1% for USD and was 6.6% for EUR. </w:t>
      </w:r>
    </w:p>
    <w:p w14:paraId="00000164" w14:textId="633CA1FF" w:rsidR="00892BBA" w:rsidRPr="00CC1AAA" w:rsidRDefault="00DA7CC1">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CC1AAA">
        <w:rPr>
          <w:rFonts w:ascii="Arial" w:eastAsia="Arial" w:hAnsi="Arial" w:cs="Arial"/>
          <w:color w:val="000000"/>
          <w:sz w:val="24"/>
          <w:szCs w:val="24"/>
        </w:rPr>
        <w:lastRenderedPageBreak/>
        <w:t xml:space="preserve">The original Framework Prices for USD tracked Suppliers would not be adjusted on the second Forex Change Date under the Forex Tracker, but may be subject to increase under the Inflation Tracker (if requested appropriately by the Supplier). With effect from the second Forex Change Date, the 3% increase to the EUR tracked Supplier’s original Framework Prices would be discarded and instead, their original Framework Prices would be adjusted first in line with the Inflation Tracker (if requested appropriately by the Supplier), and then by a further 5% under the Forex Tracker. </w:t>
      </w:r>
    </w:p>
    <w:p w14:paraId="00000165" w14:textId="77777777" w:rsidR="00892BBA" w:rsidRPr="00CC1AAA" w:rsidRDefault="00892BBA">
      <w:pPr>
        <w:rPr>
          <w:rFonts w:ascii="Arial" w:eastAsia="Arial" w:hAnsi="Arial" w:cs="Arial"/>
          <w:b/>
          <w:sz w:val="24"/>
          <w:szCs w:val="24"/>
        </w:rPr>
      </w:pPr>
    </w:p>
    <w:sectPr w:rsidR="00892BBA" w:rsidRPr="00CC1AAA">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A67AB" w14:textId="77777777" w:rsidR="008D541B" w:rsidRDefault="008D541B">
      <w:pPr>
        <w:spacing w:after="0" w:line="240" w:lineRule="auto"/>
      </w:pPr>
      <w:r>
        <w:separator/>
      </w:r>
    </w:p>
  </w:endnote>
  <w:endnote w:type="continuationSeparator" w:id="0">
    <w:p w14:paraId="22B08867" w14:textId="77777777" w:rsidR="008D541B" w:rsidRDefault="008D5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A" w14:textId="3D9379C9" w:rsidR="00892BBA" w:rsidRDefault="00DA7CC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2B38AB">
      <w:rPr>
        <w:rFonts w:ascii="Arial" w:eastAsia="Arial" w:hAnsi="Arial" w:cs="Arial"/>
        <w:sz w:val="20"/>
        <w:szCs w:val="20"/>
      </w:rPr>
      <w:t>6360</w:t>
    </w:r>
    <w:r>
      <w:rPr>
        <w:rFonts w:ascii="Arial" w:eastAsia="Arial" w:hAnsi="Arial" w:cs="Arial"/>
        <w:sz w:val="20"/>
        <w:szCs w:val="20"/>
      </w:rPr>
      <w:tab/>
      <w:t xml:space="preserve">                                           </w:t>
    </w:r>
  </w:p>
  <w:p w14:paraId="0000016B" w14:textId="7DCA4335" w:rsidR="00892BBA" w:rsidRDefault="00DA7C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66B7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16C" w14:textId="77777777" w:rsidR="00892BBA" w:rsidRDefault="00DA7CC1">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D" w14:textId="77777777" w:rsidR="00892BBA" w:rsidRDefault="00DA7CC1">
    <w:pPr>
      <w:tabs>
        <w:tab w:val="center" w:pos="4513"/>
        <w:tab w:val="right" w:pos="9026"/>
      </w:tabs>
      <w:spacing w:after="0"/>
    </w:pPr>
    <w:r>
      <w:t>Framework Ref: RM</w:t>
    </w:r>
    <w:r>
      <w:tab/>
      <w:t xml:space="preserve">                                           </w:t>
    </w:r>
  </w:p>
  <w:p w14:paraId="0000016E" w14:textId="77777777" w:rsidR="00892BBA" w:rsidRDefault="00DA7C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41DDF">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0000016F" w14:textId="77777777" w:rsidR="00892BBA" w:rsidRDefault="00DA7CC1">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955D6" w14:textId="77777777" w:rsidR="008D541B" w:rsidRDefault="008D541B">
      <w:pPr>
        <w:spacing w:after="0" w:line="240" w:lineRule="auto"/>
      </w:pPr>
      <w:r>
        <w:separator/>
      </w:r>
    </w:p>
  </w:footnote>
  <w:footnote w:type="continuationSeparator" w:id="0">
    <w:p w14:paraId="4FD91439" w14:textId="77777777" w:rsidR="008D541B" w:rsidRDefault="008D54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6" w14:textId="77777777" w:rsidR="00892BBA" w:rsidRDefault="00DA7CC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167" w14:textId="512439AA" w:rsidR="00892BBA" w:rsidRDefault="00DA7C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w:t>
    </w:r>
    <w:r w:rsidR="00794324">
      <w:rPr>
        <w:rFonts w:ascii="Arial" w:eastAsia="Arial" w:hAnsi="Arial" w:cs="Arial"/>
        <w:sz w:val="20"/>
        <w:szCs w:val="20"/>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8" w14:textId="77777777" w:rsidR="00892BBA" w:rsidRDefault="00DA7CC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169" w14:textId="77777777" w:rsidR="00892BBA" w:rsidRDefault="00DA7CC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C2EB6"/>
    <w:multiLevelType w:val="multilevel"/>
    <w:tmpl w:val="71F8A312"/>
    <w:lvl w:ilvl="0">
      <w:start w:val="1"/>
      <w:numFmt w:val="decimal"/>
      <w:lvlText w:val="%1."/>
      <w:lvlJc w:val="right"/>
      <w:pPr>
        <w:ind w:left="360" w:hanging="360"/>
      </w:pPr>
      <w:rPr>
        <w:b/>
        <w:smallCaps w:val="0"/>
        <w:strike w:val="0"/>
        <w:color w:val="000000"/>
        <w:u w:val="none"/>
        <w:vertAlign w:val="baseline"/>
      </w:rPr>
    </w:lvl>
    <w:lvl w:ilvl="1">
      <w:start w:val="1"/>
      <w:numFmt w:val="decimal"/>
      <w:lvlText w:val="%1.%2."/>
      <w:lvlJc w:val="righ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1287" w:hanging="720"/>
      </w:pPr>
      <w:rPr>
        <w:b w:val="0"/>
        <w:i w:val="0"/>
        <w:smallCaps w:val="0"/>
        <w:strike w:val="0"/>
        <w:color w:val="000000"/>
        <w:sz w:val="24"/>
        <w:szCs w:val="24"/>
        <w:u w:val="none"/>
        <w:vertAlign w:val="baseline"/>
      </w:rPr>
    </w:lvl>
    <w:lvl w:ilvl="3">
      <w:start w:val="1"/>
      <w:numFmt w:val="lowerLetter"/>
      <w:lvlText w:val="%4)"/>
      <w:lvlJc w:val="left"/>
      <w:pPr>
        <w:ind w:left="2912" w:hanging="360"/>
      </w:p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1" w15:restartNumberingAfterBreak="0">
    <w:nsid w:val="25112BE4"/>
    <w:multiLevelType w:val="multilevel"/>
    <w:tmpl w:val="E5441AE0"/>
    <w:lvl w:ilvl="0">
      <w:start w:val="1"/>
      <w:numFmt w:val="decimal"/>
      <w:pStyle w:val="GPsDefinition"/>
      <w:lvlText w:val="%1."/>
      <w:lvlJc w:val="right"/>
      <w:pPr>
        <w:ind w:left="360" w:hanging="360"/>
      </w:pPr>
      <w:rPr>
        <w:smallCaps w:val="0"/>
        <w:strike w:val="0"/>
        <w:color w:val="000000"/>
        <w:u w:val="none"/>
        <w:vertAlign w:val="baseline"/>
      </w:rPr>
    </w:lvl>
    <w:lvl w:ilvl="1">
      <w:start w:val="1"/>
      <w:numFmt w:val="decimal"/>
      <w:pStyle w:val="GPSDefinitionL2"/>
      <w:lvlText w:val="%1.%2."/>
      <w:lvlJc w:val="righ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3."/>
      <w:lvlJc w:val="left"/>
      <w:pPr>
        <w:ind w:left="630" w:hanging="360"/>
      </w:pPr>
    </w:lvl>
    <w:lvl w:ilvl="3">
      <w:start w:val="1"/>
      <w:numFmt w:val="decimal"/>
      <w:pStyle w:val="GPSDefinitionL4"/>
      <w:lvlText w:val="%1.%2.%3.%4."/>
      <w:lvlJc w:val="right"/>
      <w:pPr>
        <w:ind w:left="3272" w:hanging="720"/>
      </w:pPr>
      <w:rPr>
        <w:rFonts w:ascii="Calibri" w:eastAsia="Calibri" w:hAnsi="Calibri" w:cs="Calibri"/>
        <w:b w:val="0"/>
        <w:i w:val="0"/>
        <w:smallCaps w:val="0"/>
        <w:strike w:val="0"/>
        <w:color w:val="000000"/>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2" w15:restartNumberingAfterBreak="0">
    <w:nsid w:val="372846F4"/>
    <w:multiLevelType w:val="multilevel"/>
    <w:tmpl w:val="A6684EDE"/>
    <w:lvl w:ilvl="0">
      <w:start w:val="1"/>
      <w:numFmt w:val="decimal"/>
      <w:pStyle w:val="GPSL2GuidanceNumbered"/>
      <w:lvlText w:val="%1."/>
      <w:lvlJc w:val="right"/>
      <w:pPr>
        <w:ind w:left="360" w:hanging="360"/>
      </w:pPr>
      <w:rPr>
        <w:smallCaps w:val="0"/>
        <w:strike w:val="0"/>
        <w:color w:val="000000"/>
        <w:u w:val="none"/>
        <w:vertAlign w:val="baseline"/>
      </w:rPr>
    </w:lvl>
    <w:lvl w:ilvl="1">
      <w:start w:val="1"/>
      <w:numFmt w:val="decimal"/>
      <w:lvlText w:val="%1.%2."/>
      <w:lvlJc w:val="righ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3."/>
      <w:lvlJc w:val="left"/>
      <w:pPr>
        <w:ind w:left="630" w:hanging="360"/>
      </w:pPr>
    </w:lvl>
    <w:lvl w:ilvl="3">
      <w:start w:val="1"/>
      <w:numFmt w:val="decimal"/>
      <w:lvlText w:val="%1.%2.%3.%4."/>
      <w:lvlJc w:val="right"/>
      <w:pPr>
        <w:ind w:left="3272" w:hanging="720"/>
      </w:pPr>
      <w:rPr>
        <w:rFonts w:ascii="Calibri" w:eastAsia="Calibri" w:hAnsi="Calibri" w:cs="Calibri"/>
        <w:b w:val="0"/>
        <w:i w:val="0"/>
        <w:smallCaps w:val="0"/>
        <w:strike w:val="0"/>
        <w:color w:val="000000"/>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3" w15:restartNumberingAfterBreak="0">
    <w:nsid w:val="45367C32"/>
    <w:multiLevelType w:val="multilevel"/>
    <w:tmpl w:val="BEE27952"/>
    <w:lvl w:ilvl="0">
      <w:start w:val="8"/>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678D68CB"/>
    <w:multiLevelType w:val="multilevel"/>
    <w:tmpl w:val="8E7A83C6"/>
    <w:lvl w:ilvl="0">
      <w:start w:val="1"/>
      <w:numFmt w:val="decimal"/>
      <w:pStyle w:val="GPSL1CLAUSEHEADING"/>
      <w:lvlText w:val="%1."/>
      <w:lvlJc w:val="right"/>
      <w:pPr>
        <w:ind w:left="360" w:hanging="360"/>
      </w:pPr>
      <w:rPr>
        <w:b/>
        <w:smallCaps w:val="0"/>
        <w:strike w:val="0"/>
        <w:color w:val="000000"/>
        <w:sz w:val="24"/>
        <w:szCs w:val="24"/>
        <w:u w:val="none"/>
        <w:vertAlign w:val="baseline"/>
      </w:rPr>
    </w:lvl>
    <w:lvl w:ilvl="1">
      <w:start w:val="1"/>
      <w:numFmt w:val="decimal"/>
      <w:pStyle w:val="GPSL2numberedclause"/>
      <w:lvlText w:val="%1.%2."/>
      <w:lvlJc w:val="righ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right"/>
      <w:pPr>
        <w:ind w:left="1287"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2912" w:hanging="360"/>
      </w:pPr>
    </w:lvl>
    <w:lvl w:ilvl="4">
      <w:start w:val="1"/>
      <w:numFmt w:val="decimal"/>
      <w:pStyle w:val="GPSL5numberedclause"/>
      <w:lvlText w:val="%1.%2.%3.%4.%5."/>
      <w:lvlJc w:val="right"/>
      <w:pPr>
        <w:ind w:left="3349" w:hanging="1080"/>
      </w:pPr>
      <w:rPr>
        <w:b w:val="0"/>
        <w:i w:val="0"/>
        <w:smallCaps w:val="0"/>
        <w:strike w:val="0"/>
        <w:color w:val="000000"/>
        <w:u w:val="none"/>
        <w:vertAlign w:val="baseline"/>
      </w:rPr>
    </w:lvl>
    <w:lvl w:ilvl="5">
      <w:start w:val="1"/>
      <w:numFmt w:val="decimal"/>
      <w:pStyle w:val="GPSL6numbered"/>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num w:numId="1" w16cid:durableId="752046570">
    <w:abstractNumId w:val="4"/>
  </w:num>
  <w:num w:numId="2" w16cid:durableId="85883232">
    <w:abstractNumId w:val="1"/>
  </w:num>
  <w:num w:numId="3" w16cid:durableId="234316222">
    <w:abstractNumId w:val="2"/>
  </w:num>
  <w:num w:numId="4" w16cid:durableId="1656370353">
    <w:abstractNumId w:val="0"/>
  </w:num>
  <w:num w:numId="5" w16cid:durableId="1647977146">
    <w:abstractNumId w:val="3"/>
  </w:num>
  <w:num w:numId="6" w16cid:durableId="400639255">
    <w:abstractNumId w:val="4"/>
  </w:num>
  <w:num w:numId="7" w16cid:durableId="587424111">
    <w:abstractNumId w:val="4"/>
  </w:num>
  <w:num w:numId="8" w16cid:durableId="91829688">
    <w:abstractNumId w:val="4"/>
  </w:num>
  <w:num w:numId="9" w16cid:durableId="1716927709">
    <w:abstractNumId w:val="4"/>
  </w:num>
  <w:num w:numId="10" w16cid:durableId="1083837290">
    <w:abstractNumId w:val="4"/>
  </w:num>
  <w:num w:numId="11" w16cid:durableId="1650555455">
    <w:abstractNumId w:val="4"/>
  </w:num>
  <w:num w:numId="12" w16cid:durableId="6518053">
    <w:abstractNumId w:val="4"/>
  </w:num>
  <w:num w:numId="13" w16cid:durableId="548882048">
    <w:abstractNumId w:val="4"/>
  </w:num>
  <w:num w:numId="14" w16cid:durableId="1310476464">
    <w:abstractNumId w:val="4"/>
  </w:num>
  <w:num w:numId="15" w16cid:durableId="1962760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BBA"/>
    <w:rsid w:val="00041DDF"/>
    <w:rsid w:val="000B5F70"/>
    <w:rsid w:val="001A31F2"/>
    <w:rsid w:val="001B1295"/>
    <w:rsid w:val="001F4C26"/>
    <w:rsid w:val="00202F58"/>
    <w:rsid w:val="002A5D66"/>
    <w:rsid w:val="002B38AB"/>
    <w:rsid w:val="00302639"/>
    <w:rsid w:val="00310F49"/>
    <w:rsid w:val="004A1770"/>
    <w:rsid w:val="004F4344"/>
    <w:rsid w:val="00575B5D"/>
    <w:rsid w:val="005E62AD"/>
    <w:rsid w:val="006066D0"/>
    <w:rsid w:val="006412D1"/>
    <w:rsid w:val="0068662A"/>
    <w:rsid w:val="00766B77"/>
    <w:rsid w:val="00794324"/>
    <w:rsid w:val="00807D6D"/>
    <w:rsid w:val="0083490E"/>
    <w:rsid w:val="00892BBA"/>
    <w:rsid w:val="008D541B"/>
    <w:rsid w:val="00920733"/>
    <w:rsid w:val="00956520"/>
    <w:rsid w:val="00986BE3"/>
    <w:rsid w:val="009A0398"/>
    <w:rsid w:val="009E1CA5"/>
    <w:rsid w:val="00A44590"/>
    <w:rsid w:val="00B17492"/>
    <w:rsid w:val="00BF1950"/>
    <w:rsid w:val="00C43ADA"/>
    <w:rsid w:val="00CC1AAA"/>
    <w:rsid w:val="00CE1FB0"/>
    <w:rsid w:val="00D4598E"/>
    <w:rsid w:val="00D76EAF"/>
    <w:rsid w:val="00DA7CC1"/>
    <w:rsid w:val="00E11A46"/>
    <w:rsid w:val="00E465C1"/>
    <w:rsid w:val="00EB1C05"/>
    <w:rsid w:val="00EF31EE"/>
    <w:rsid w:val="00FB3C47"/>
    <w:rsid w:val="00FE11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CAA97A0"/>
  <w15:docId w15:val="{C1A0CE73-23DE-467A-AD25-9FA2215C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eastAsia="Times New Roman" w:cs="Arial"/>
      <w:lang w:eastAsia="zh-CN"/>
    </w:rPr>
  </w:style>
  <w:style w:type="character" w:customStyle="1" w:styleId="GPSL3numberedclauseChar">
    <w:name w:val="GPS L3 numbered clause Char"/>
    <w:link w:val="GPSL3numberedclause"/>
    <w:rPr>
      <w:rFonts w:eastAsia="Times New Roman" w:cs="Arial"/>
      <w:lang w:eastAsia="zh-CN"/>
    </w:rPr>
  </w:style>
  <w:style w:type="character" w:customStyle="1" w:styleId="GPSL4numberedclauseChar">
    <w:name w:val="GPS L4 numbered clause Char"/>
    <w:link w:val="GPSL4numberedclause"/>
    <w:rPr>
      <w:rFonts w:eastAsia="Times New Roman"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pPr>
      <w:spacing w:after="0" w:line="240" w:lineRule="auto"/>
    </w:pPr>
    <w:tblPr>
      <w:tblStyleRowBandSize w:val="1"/>
      <w:tblStyleColBandSize w:val="1"/>
      <w:tblCellMar>
        <w:left w:w="115" w:type="dxa"/>
        <w:right w:w="115" w:type="dxa"/>
      </w:tblCellMar>
    </w:tblPr>
  </w:style>
  <w:style w:type="table" w:customStyle="1" w:styleId="2">
    <w:name w:val="2"/>
    <w:basedOn w:val="TableNormal"/>
    <w:pPr>
      <w:spacing w:after="0" w:line="240" w:lineRule="auto"/>
    </w:pPr>
    <w:tblPr>
      <w:tblStyleRowBandSize w:val="1"/>
      <w:tblStyleColBandSize w:val="1"/>
      <w:tblCellMar>
        <w:left w:w="115" w:type="dxa"/>
        <w:right w:w="115" w:type="dxa"/>
      </w:tblCellMar>
    </w:tblPr>
  </w:style>
  <w:style w:type="table" w:customStyle="1" w:styleId="1">
    <w:name w:val="1"/>
    <w:basedOn w:val="TableNormal"/>
    <w:pPr>
      <w:spacing w:after="0" w:line="240" w:lineRule="auto"/>
    </w:pPr>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FA5FC3"/>
    <w:pPr>
      <w:spacing w:after="0" w:line="240" w:lineRule="auto"/>
    </w:pPr>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FA5FC3"/>
    <w:rPr>
      <w:rFonts w:asciiTheme="minorHAnsi" w:eastAsiaTheme="minorHAnsi" w:hAnsiTheme="minorHAnsi" w:cstheme="minorBidi"/>
      <w:sz w:val="20"/>
      <w:szCs w:val="20"/>
      <w:lang w:eastAsia="en-US"/>
    </w:rPr>
  </w:style>
  <w:style w:type="character" w:styleId="FootnoteReference">
    <w:name w:val="footnote reference"/>
    <w:basedOn w:val="DefaultParagraphFont"/>
    <w:uiPriority w:val="99"/>
    <w:semiHidden/>
    <w:unhideWhenUsed/>
    <w:rsid w:val="00FA5FC3"/>
    <w:rPr>
      <w:vertAlign w:val="superscript"/>
    </w:rPr>
  </w:style>
  <w:style w:type="paragraph" w:customStyle="1" w:styleId="pf0">
    <w:name w:val="pf0"/>
    <w:basedOn w:val="Normal"/>
    <w:rsid w:val="00236F26"/>
    <w:pPr>
      <w:spacing w:before="100" w:beforeAutospacing="1" w:after="100" w:afterAutospacing="1" w:line="240" w:lineRule="auto"/>
      <w:ind w:left="1120"/>
    </w:pPr>
    <w:rPr>
      <w:rFonts w:ascii="Times New Roman" w:eastAsia="Times New Roman" w:hAnsi="Times New Roman" w:cs="Times New Roman"/>
      <w:sz w:val="24"/>
      <w:szCs w:val="24"/>
    </w:rPr>
  </w:style>
  <w:style w:type="paragraph" w:customStyle="1" w:styleId="pf1">
    <w:name w:val="pf1"/>
    <w:basedOn w:val="Normal"/>
    <w:rsid w:val="00236F26"/>
    <w:pPr>
      <w:spacing w:before="100" w:beforeAutospacing="1" w:after="100" w:afterAutospacing="1" w:line="240" w:lineRule="auto"/>
      <w:ind w:left="1640"/>
    </w:pPr>
    <w:rPr>
      <w:rFonts w:ascii="Times New Roman" w:eastAsia="Times New Roman" w:hAnsi="Times New Roman" w:cs="Times New Roman"/>
      <w:sz w:val="24"/>
      <w:szCs w:val="24"/>
    </w:rPr>
  </w:style>
  <w:style w:type="character" w:customStyle="1" w:styleId="cf01">
    <w:name w:val="cf01"/>
    <w:basedOn w:val="DefaultParagraphFont"/>
    <w:rsid w:val="00236F26"/>
    <w:rPr>
      <w:rFonts w:ascii="Segoe UI" w:hAnsi="Segoe UI" w:cs="Segoe UI" w:hint="default"/>
      <w:sz w:val="18"/>
      <w:szCs w:val="18"/>
    </w:rPr>
  </w:style>
  <w:style w:type="character" w:customStyle="1" w:styleId="cf11">
    <w:name w:val="cf11"/>
    <w:basedOn w:val="DefaultParagraphFont"/>
    <w:rsid w:val="00236F26"/>
    <w:rPr>
      <w:rFonts w:ascii="Segoe UI" w:hAnsi="Segoe UI" w:cs="Segoe UI" w:hint="default"/>
      <w:sz w:val="18"/>
      <w:szCs w:val="18"/>
    </w:rPr>
  </w:style>
  <w:style w:type="paragraph" w:styleId="NormalWeb">
    <w:name w:val="Normal (Web)"/>
    <w:basedOn w:val="Normal"/>
    <w:uiPriority w:val="99"/>
    <w:semiHidden/>
    <w:unhideWhenUsed/>
    <w:rsid w:val="00236F2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96D08"/>
    <w:pPr>
      <w:ind w:left="720"/>
      <w:contextualSpacing/>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LKqSeN8YDCaSJZJyRiASweA94w==">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17</Pages>
  <Words>4361</Words>
  <Characters>24861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29164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Lucy Pringle</dc:creator>
  <cp:lastModifiedBy>Cassandra Keogh</cp:lastModifiedBy>
  <cp:revision>14</cp:revision>
  <dcterms:created xsi:type="dcterms:W3CDTF">2025-01-30T08:53:00Z</dcterms:created>
  <dcterms:modified xsi:type="dcterms:W3CDTF">2025-02-18T12:06:00Z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